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6804" w:hanging="0"/>
        <w:rPr>
          <w:rFonts w:ascii="Calibri" w:hAnsi="Calibri"/>
        </w:rPr>
      </w:pPr>
      <w:r>
        <w:rPr/>
      </w:r>
    </w:p>
    <w:p>
      <w:pPr>
        <w:pStyle w:val="Normal"/>
        <w:spacing w:lineRule="auto" w:line="240" w:before="144" w:after="144"/>
        <w:jc w:val="both"/>
        <w:rPr>
          <w:rFonts w:ascii="Calibri" w:hAnsi="Calibri"/>
        </w:rPr>
      </w:pPr>
      <w:r>
        <w:rPr>
          <w:rFonts w:eastAsia="Times New Roman" w:cs="Times New Roman"/>
          <w:b/>
          <w:bCs/>
          <w:sz w:val="20"/>
          <w:szCs w:val="20"/>
        </w:rPr>
        <w:t xml:space="preserve">Stan na dzień sporządzenia prospektu informacyjnego </w:t>
      </w:r>
    </w:p>
    <w:p>
      <w:pPr>
        <w:pStyle w:val="Normal"/>
        <w:widowControl w:val="false"/>
        <w:spacing w:lineRule="auto" w:line="360" w:before="0" w:after="0"/>
        <w:ind w:left="6379" w:hanging="0"/>
        <w:rPr>
          <w:rFonts w:ascii="Calibri" w:hAnsi="Calibri"/>
        </w:rPr>
      </w:pPr>
      <w:r>
        <w:rPr>
          <w:rFonts w:eastAsia="Times New Roman" w:cs="Times New Roman"/>
          <w:sz w:val="20"/>
          <w:szCs w:val="20"/>
        </w:rPr>
        <w:t xml:space="preserve">Data </w:t>
      </w:r>
    </w:p>
    <w:p>
      <w:pPr>
        <w:pStyle w:val="Normal"/>
        <w:widowControl w:val="false"/>
        <w:spacing w:lineRule="auto" w:line="360" w:before="0" w:after="0"/>
        <w:ind w:left="6379" w:hanging="0"/>
        <w:rPr>
          <w:rFonts w:ascii="Calibri" w:hAnsi="Calibri"/>
        </w:rPr>
      </w:pPr>
      <w:r>
        <w:rPr>
          <w:rFonts w:eastAsia="Times New Roman" w:cs="Times New Roman"/>
          <w:sz w:val="20"/>
          <w:szCs w:val="20"/>
        </w:rPr>
        <w:t>sporządzenia</w:t>
      </w:r>
    </w:p>
    <w:p>
      <w:pPr>
        <w:pStyle w:val="Normal"/>
        <w:widowControl w:val="false"/>
        <w:spacing w:lineRule="auto" w:line="360" w:before="0" w:after="0"/>
        <w:ind w:left="6379" w:hanging="0"/>
        <w:rPr>
          <w:rFonts w:ascii="Calibri" w:hAnsi="Calibri"/>
        </w:rPr>
      </w:pPr>
      <w:r>
        <w:rPr>
          <w:rFonts w:eastAsia="Times New Roman" w:cs="Times New Roman"/>
          <w:sz w:val="20"/>
          <w:szCs w:val="20"/>
        </w:rPr>
        <w:t>prospektu: 12.09.2025r.</w:t>
      </w:r>
    </w:p>
    <w:p>
      <w:pPr>
        <w:pStyle w:val="Normal"/>
        <w:numPr>
          <w:ilvl w:val="0"/>
          <w:numId w:val="0"/>
        </w:numPr>
        <w:spacing w:lineRule="auto" w:line="240" w:before="60" w:after="60"/>
        <w:ind w:left="0" w:hanging="0"/>
        <w:jc w:val="center"/>
        <w:outlineLvl w:val="0"/>
        <w:rPr>
          <w:rFonts w:ascii="Calibri" w:hAnsi="Calibri" w:eastAsia="Calibri" w:cs="Times New Roman"/>
          <w:b/>
          <w:sz w:val="20"/>
          <w:szCs w:val="20"/>
        </w:rPr>
      </w:pPr>
      <w:r>
        <w:rPr>
          <w:rFonts w:eastAsia="Calibri" w:cs="Times New Roman"/>
          <w:b/>
          <w:sz w:val="20"/>
          <w:szCs w:val="20"/>
        </w:rPr>
      </w:r>
    </w:p>
    <w:p>
      <w:pPr>
        <w:pStyle w:val="Normal"/>
        <w:numPr>
          <w:ilvl w:val="0"/>
          <w:numId w:val="0"/>
        </w:numPr>
        <w:spacing w:lineRule="auto" w:line="240" w:before="144" w:after="144"/>
        <w:ind w:left="0" w:hanging="0"/>
        <w:jc w:val="center"/>
        <w:outlineLvl w:val="0"/>
        <w:rPr>
          <w:rFonts w:ascii="Calibri" w:hAnsi="Calibri"/>
        </w:rPr>
      </w:pPr>
      <w:r>
        <w:rPr>
          <w:rFonts w:eastAsia="Calibri" w:cs="Times New Roman"/>
          <w:b/>
          <w:sz w:val="20"/>
          <w:szCs w:val="20"/>
        </w:rPr>
        <w:t xml:space="preserve">PROSPEKT INFORMACYJNY </w:t>
      </w:r>
    </w:p>
    <w:p>
      <w:pPr>
        <w:pStyle w:val="Normal"/>
        <w:numPr>
          <w:ilvl w:val="0"/>
          <w:numId w:val="0"/>
        </w:numPr>
        <w:spacing w:lineRule="auto" w:line="240" w:before="60" w:after="60"/>
        <w:ind w:left="0" w:hanging="0"/>
        <w:jc w:val="center"/>
        <w:outlineLvl w:val="0"/>
        <w:rPr>
          <w:rFonts w:ascii="Calibri" w:hAnsi="Calibri" w:eastAsia="Calibri" w:cs="Times New Roman"/>
          <w:b/>
          <w:sz w:val="20"/>
          <w:szCs w:val="20"/>
        </w:rPr>
      </w:pPr>
      <w:r>
        <w:rPr>
          <w:rFonts w:eastAsia="Calibri" w:cs="Times New Roman"/>
          <w:b/>
          <w:sz w:val="20"/>
          <w:szCs w:val="20"/>
        </w:rPr>
      </w:r>
    </w:p>
    <w:p>
      <w:pPr>
        <w:pStyle w:val="Normal"/>
        <w:numPr>
          <w:ilvl w:val="0"/>
          <w:numId w:val="0"/>
        </w:numPr>
        <w:spacing w:lineRule="auto" w:line="240" w:before="144" w:after="144"/>
        <w:ind w:left="0" w:hanging="0"/>
        <w:outlineLvl w:val="0"/>
        <w:rPr>
          <w:rFonts w:ascii="Calibri" w:hAnsi="Calibri"/>
        </w:rPr>
      </w:pPr>
      <w:r>
        <w:rPr>
          <w:rFonts w:eastAsia="Calibri" w:cs="Times New Roman"/>
          <w:b/>
          <w:sz w:val="20"/>
          <w:szCs w:val="20"/>
        </w:rPr>
        <w:t>CZĘŚĆ OGÓLNA</w:t>
      </w:r>
    </w:p>
    <w:p>
      <w:pPr>
        <w:pStyle w:val="Normal"/>
        <w:numPr>
          <w:ilvl w:val="0"/>
          <w:numId w:val="0"/>
        </w:numPr>
        <w:spacing w:lineRule="auto" w:line="240" w:before="0" w:after="0"/>
        <w:ind w:left="0" w:hanging="0"/>
        <w:outlineLvl w:val="0"/>
        <w:rPr>
          <w:rFonts w:ascii="Calibri" w:hAnsi="Calibri" w:eastAsia="Calibri" w:cs="Times New Roman"/>
          <w:b/>
          <w:sz w:val="20"/>
          <w:szCs w:val="20"/>
        </w:rPr>
      </w:pPr>
      <w:r>
        <w:rPr>
          <w:rFonts w:eastAsia="Calibri" w:cs="Times New Roman"/>
          <w:b/>
          <w:sz w:val="20"/>
          <w:szCs w:val="20"/>
        </w:rPr>
      </w:r>
    </w:p>
    <w:p>
      <w:pPr>
        <w:pStyle w:val="Normal"/>
        <w:widowControl w:val="false"/>
        <w:numPr>
          <w:ilvl w:val="0"/>
          <w:numId w:val="1"/>
        </w:numPr>
        <w:spacing w:lineRule="auto" w:line="240" w:before="0" w:afterAutospacing="1"/>
        <w:ind w:left="1077" w:hanging="720"/>
        <w:jc w:val="both"/>
        <w:rPr>
          <w:rFonts w:ascii="Calibri" w:hAnsi="Calibri"/>
        </w:rPr>
      </w:pPr>
      <w:r>
        <w:rPr>
          <w:rFonts w:eastAsia="Times New Roman" w:cs="Times New Roman"/>
          <w:b/>
          <w:bCs/>
          <w:sz w:val="20"/>
          <w:szCs w:val="20"/>
        </w:rPr>
        <w:t>DANE IDENTYFIKACYJNE I KONTAKTOWE DOTYCZĄCE DEWELOPERA</w:t>
      </w:r>
    </w:p>
    <w:tbl>
      <w:tblPr>
        <w:tblpPr w:bottomFromText="0" w:horzAnchor="margin" w:leftFromText="141" w:rightFromText="141" w:tblpX="0" w:tblpY="50"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2987"/>
        <w:gridCol w:w="3236"/>
        <w:gridCol w:w="3425"/>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Calibri" w:hAnsi="Calibri"/>
              </w:rPr>
            </w:pPr>
            <w:r>
              <w:rPr>
                <w:rFonts w:eastAsia="Times New Roman" w:cs="Times New Roman"/>
                <w:b/>
                <w:bCs/>
                <w:sz w:val="20"/>
                <w:szCs w:val="20"/>
              </w:rPr>
              <w:t>DANE DEWELOPERA</w:t>
            </w:r>
          </w:p>
          <w:p>
            <w:pPr>
              <w:pStyle w:val="Normal"/>
              <w:widowControl w:val="false"/>
              <w:spacing w:lineRule="auto" w:line="240" w:before="144" w:after="144"/>
              <w:jc w:val="both"/>
              <w:rPr>
                <w:rFonts w:ascii="Calibri" w:hAnsi="Calibri" w:eastAsia="Times New Roman" w:cs="Times New Roman"/>
                <w:b/>
                <w:bCs/>
                <w:sz w:val="20"/>
                <w:szCs w:val="20"/>
              </w:rPr>
            </w:pPr>
            <w:r>
              <w:rPr>
                <w:rFonts w:eastAsia="Times New Roman" w:cs="Times New Roman"/>
                <w:b/>
                <w:bCs/>
                <w:sz w:val="20"/>
                <w:szCs w:val="20"/>
              </w:rPr>
            </w:r>
          </w:p>
        </w:tc>
      </w:tr>
      <w:tr>
        <w:trPr>
          <w:trHeight w:val="375"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MK Miedvie Spółka z ograniczoną odpowiedzialnością</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KRS 0000829305</w:t>
            </w:r>
          </w:p>
          <w:p>
            <w:pPr>
              <w:pStyle w:val="NormalWeb"/>
              <w:widowControl w:val="false"/>
              <w:tabs>
                <w:tab w:val="clear" w:pos="708"/>
                <w:tab w:val="left" w:pos="1470" w:leader="none"/>
              </w:tabs>
              <w:suppressAutoHyphens w:val="true"/>
              <w:spacing w:before="280" w:after="0"/>
              <w:jc w:val="left"/>
              <w:rPr>
                <w:rFonts w:ascii="Calibri" w:hAnsi="Calibri" w:cs="Calibri" w:asciiTheme="minorHAnsi" w:cstheme="minorHAnsi" w:hAnsiTheme="minorHAnsi"/>
                <w:sz w:val="22"/>
                <w:szCs w:val="22"/>
              </w:rPr>
            </w:pPr>
            <w:r>
              <w:rPr>
                <w:rFonts w:cs="Calibri" w:cstheme="minorHAnsi" w:ascii="Calibri" w:hAnsi="Calibri"/>
                <w:sz w:val="22"/>
                <w:szCs w:val="22"/>
              </w:rPr>
            </w:r>
          </w:p>
        </w:tc>
      </w:tr>
      <w:tr>
        <w:trPr>
          <w:trHeight w:val="1327"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ul. Szczecińska 12, 73-108 Morzyczyn</w:t>
            </w:r>
          </w:p>
        </w:tc>
      </w:tr>
      <w:tr>
        <w:trPr>
          <w:trHeight w:val="18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Numer NIP REGON</w:t>
            </w:r>
          </w:p>
        </w:tc>
        <w:tc>
          <w:tcPr>
            <w:tcW w:w="32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NIP 8542430712</w:t>
            </w:r>
          </w:p>
          <w:p>
            <w:pPr>
              <w:pStyle w:val="NormalWeb"/>
              <w:widowControl w:val="false"/>
              <w:suppressAutoHyphens w:val="true"/>
              <w:spacing w:before="280" w:after="0"/>
              <w:jc w:val="left"/>
              <w:rPr>
                <w:rFonts w:ascii="Calibri" w:hAnsi="Calibri" w:cs="Calibri" w:asciiTheme="minorHAnsi" w:cstheme="minorHAnsi" w:hAnsiTheme="minorHAnsi"/>
                <w:sz w:val="22"/>
                <w:szCs w:val="22"/>
              </w:rPr>
            </w:pPr>
            <w:r>
              <w:rPr>
                <w:rFonts w:cs="Calibri" w:cstheme="minorHAnsi" w:ascii="Calibri" w:hAnsi="Calibri"/>
                <w:sz w:val="22"/>
                <w:szCs w:val="22"/>
              </w:rPr>
            </w:r>
          </w:p>
        </w:tc>
        <w:tc>
          <w:tcPr>
            <w:tcW w:w="3425"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uppressAutoHyphens w:val="true"/>
              <w:spacing w:before="0" w:after="0"/>
              <w:jc w:val="left"/>
              <w:rPr>
                <w:rFonts w:ascii="Calibri" w:hAnsi="Calibri"/>
              </w:rPr>
            </w:pPr>
            <w:r>
              <w:rPr>
                <w:rFonts w:cs="Calibri" w:ascii="Calibri" w:hAnsi="Calibri" w:asciiTheme="minorHAnsi" w:cstheme="minorHAnsi" w:hAnsiTheme="minorHAnsi"/>
                <w:kern w:val="0"/>
                <w:sz w:val="22"/>
                <w:szCs w:val="22"/>
                <w:lang w:val="pl-PL" w:bidi="ar-SA"/>
              </w:rPr>
              <w:t>REGON 385564684</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0"/>
              <w:jc w:val="left"/>
              <w:rPr>
                <w:rFonts w:ascii="Calibri" w:hAnsi="Calibri"/>
              </w:rPr>
            </w:pPr>
            <w:r>
              <w:rPr>
                <w:rFonts w:cs="Calibri" w:ascii="Calibri" w:hAnsi="Calibri" w:asciiTheme="minorHAnsi" w:cstheme="minorHAnsi" w:hAnsiTheme="minorHAnsi"/>
                <w:kern w:val="0"/>
                <w:sz w:val="22"/>
                <w:szCs w:val="22"/>
                <w:lang w:val="pl-PL" w:bidi="ar-SA"/>
              </w:rPr>
              <w:t>694784326, 790457165</w:t>
            </w:r>
          </w:p>
        </w:tc>
      </w:tr>
      <w:tr>
        <w:trPr>
          <w:trHeight w:val="272"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uppressAutoHyphens w:val="true"/>
              <w:spacing w:before="0" w:after="0"/>
              <w:jc w:val="left"/>
              <w:rPr>
                <w:rFonts w:ascii="Calibri" w:hAnsi="Calibri"/>
              </w:rPr>
            </w:pPr>
            <w:r>
              <w:rPr>
                <w:rFonts w:cs="Calibri" w:ascii="Calibri" w:hAnsi="Calibri" w:asciiTheme="minorHAnsi" w:cstheme="minorHAnsi" w:hAnsiTheme="minorHAnsi"/>
                <w:kern w:val="0"/>
                <w:sz w:val="22"/>
                <w:szCs w:val="22"/>
                <w:lang w:val="pl-PL" w:bidi="ar-SA"/>
              </w:rPr>
              <w:t>ilnickamarta@wp.pl</w:t>
            </w:r>
          </w:p>
        </w:tc>
      </w:tr>
      <w:tr>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218" w:hRule="atLeast"/>
        </w:trPr>
        <w:tc>
          <w:tcPr>
            <w:tcW w:w="298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bl>
    <w:p>
      <w:pPr>
        <w:pStyle w:val="Normal"/>
        <w:widowControl w:val="false"/>
        <w:numPr>
          <w:ilvl w:val="0"/>
          <w:numId w:val="1"/>
        </w:numPr>
        <w:spacing w:lineRule="auto" w:line="240" w:before="240" w:afterAutospacing="1"/>
        <w:ind w:left="1077" w:hanging="720"/>
        <w:jc w:val="both"/>
        <w:rPr>
          <w:rFonts w:ascii="Calibri" w:hAnsi="Calibri"/>
        </w:rPr>
      </w:pPr>
      <w:r>
        <w:rPr>
          <w:rFonts w:eastAsia="Times New Roman" w:cs="Times New Roman"/>
          <w:b/>
          <w:sz w:val="20"/>
          <w:szCs w:val="20"/>
        </w:rPr>
        <w:t>DOŚWIADCZENIE DEWELOPERA</w:t>
      </w:r>
    </w:p>
    <w:tbl>
      <w:tblPr>
        <w:tblpPr w:bottomFromText="0" w:horzAnchor="margin" w:leftFromText="141" w:rightFromText="141" w:tblpX="0" w:tblpY="55" w:topFromText="0" w:vertAnchor="text"/>
        <w:tblW w:w="964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9648"/>
      </w:tblGrid>
      <w:tr>
        <w:trPr>
          <w:trHeight w:val="704" w:hRule="atLeast"/>
        </w:trPr>
        <w:tc>
          <w:tcPr>
            <w:tcW w:w="9648"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Calibri" w:hAnsi="Calibri"/>
              </w:rPr>
            </w:pPr>
            <w:r>
              <w:rPr>
                <w:rFonts w:eastAsia="Times New Roman" w:cs="Times New Roman"/>
                <w:b/>
                <w:sz w:val="20"/>
                <w:szCs w:val="20"/>
              </w:rPr>
              <w:t>HISTORIA I UDOKUMENTOWANE DOŚWIADCZENIE DEWELOPERA</w:t>
            </w:r>
          </w:p>
        </w:tc>
      </w:tr>
    </w:tbl>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3"/>
        <w:gridCol w:w="6834"/>
      </w:tblGrid>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Calibri" w:hAnsi="Calibri"/>
              </w:rPr>
            </w:pPr>
            <w:r>
              <w:rPr>
                <w:rFonts w:eastAsia="Times New Roman" w:cs="Times New Roman"/>
                <w:b/>
                <w:sz w:val="20"/>
                <w:szCs w:val="20"/>
              </w:rPr>
              <w:t>PRZYKŁAD UKOŃCZONEGO PRZEDSIĘWZIĘCIA DEWELOPERSKIEGO (należy wskazać, o ile istnieją, trzy ukończone przedsięwzięcia deweloperskie, w tym ostatnie)</w:t>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ul. Malinowa 2, ul. Malinowa 4, 73-108 Jęczydół</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14.08.2020r.</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W dniu 20.10.2021r. uzyskano pieczęć Powiatowego Inspektoratu Nadzoru Budowlanego w Stargardzie o niewnoszeniu przez niego sprzeciwu do ww. zawiadomienia.</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Calibri" w:hAnsi="Calibri"/>
              </w:rPr>
            </w:pPr>
            <w:r>
              <w:rPr>
                <w:rFonts w:eastAsia="Times New Roman" w:cs="Times New Roman"/>
                <w:b/>
                <w:sz w:val="20"/>
                <w:szCs w:val="20"/>
              </w:rPr>
              <w:t>PRZYKŁAD INNEGO UKOŃCZONEGO PRZEDSIĘWZIĘCIA DEWELOPERSKIEGO</w:t>
            </w:r>
          </w:p>
          <w:p>
            <w:pPr>
              <w:pStyle w:val="Normal"/>
              <w:widowControl w:val="false"/>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ul. Wędkarska 7a, ul. Wędkarska 7b, 73-108 Zieleniewo</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cs="Calibri" w:cstheme="minorHAnsi"/>
                <w:sz w:val="22"/>
              </w:rPr>
              <w:t>04.10.2022r.</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W dniu 24.01.2024r. uzyskano pieczęć Powiatowego Inspektoratu Nadzoru Budowlanego w Stargardzie o niewnoszeniu przez niego sprzeciwu do ww. zawiadomienia.</w:t>
            </w:r>
          </w:p>
        </w:tc>
      </w:tr>
      <w:tr>
        <w:trPr/>
        <w:tc>
          <w:tcPr>
            <w:tcW w:w="9647" w:type="dxa"/>
            <w:gridSpan w:val="2"/>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Autospacing="1" w:afterAutospacing="1"/>
              <w:jc w:val="both"/>
              <w:rPr>
                <w:rFonts w:ascii="Calibri" w:hAnsi="Calibri"/>
              </w:rPr>
            </w:pPr>
            <w:r>
              <w:rPr>
                <w:rFonts w:eastAsia="Times New Roman" w:cs="Times New Roman"/>
                <w:b/>
                <w:sz w:val="20"/>
                <w:szCs w:val="20"/>
              </w:rPr>
              <w:t>PRZYKŁAD OSTATNIEGO UKOŃCZONEGO PRZEDSIĘWZIĘCIA DEWELOPERSKIEGO</w:t>
            </w:r>
          </w:p>
          <w:p>
            <w:pPr>
              <w:pStyle w:val="Normal"/>
              <w:widowControl w:val="false"/>
              <w:spacing w:lineRule="auto" w:line="240" w:beforeAutospacing="1" w:after="0"/>
              <w:jc w:val="both"/>
              <w:rPr>
                <w:rFonts w:ascii="Calibri" w:hAnsi="Calibri" w:eastAsia="Times New Roman" w:cs="Times New Roman"/>
                <w:b/>
                <w:sz w:val="20"/>
                <w:szCs w:val="20"/>
              </w:rPr>
            </w:pPr>
            <w:r>
              <w:rPr>
                <w:rFonts w:eastAsia="Times New Roman" w:cs="Times New Roman"/>
                <w:b/>
                <w:sz w:val="20"/>
                <w:szCs w:val="20"/>
              </w:rPr>
            </w:r>
          </w:p>
        </w:tc>
      </w:tr>
      <w:tr>
        <w:trPr>
          <w:trHeight w:val="135" w:hRule="atLeast"/>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Adres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Data rozpoczęcia </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c>
          <w:tcPr>
            <w:tcW w:w="2813"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Data wydania decyzji o pozwoleniu na użytkowanie</w:t>
            </w:r>
          </w:p>
        </w:tc>
        <w:tc>
          <w:tcPr>
            <w:tcW w:w="68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bl>
    <w:p>
      <w:pPr>
        <w:pStyle w:val="Normal"/>
        <w:spacing w:lineRule="auto" w:line="240" w:before="144" w:after="144"/>
        <w:jc w:val="both"/>
        <w:rPr>
          <w:rFonts w:ascii="Calibri" w:hAnsi="Calibri" w:eastAsia="Times New Roman" w:cs="Times New Roman"/>
          <w:b/>
          <w:bCs/>
          <w:sz w:val="16"/>
          <w:szCs w:val="20"/>
        </w:rPr>
      </w:pPr>
      <w:r>
        <w:rPr>
          <w:rFonts w:eastAsia="Times New Roman" w:cs="Times New Roman"/>
          <w:b/>
          <w:bCs/>
          <w:sz w:val="16"/>
          <w:szCs w:val="20"/>
        </w:rPr>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07"/>
        <w:gridCol w:w="6840"/>
      </w:tblGrid>
      <w:tr>
        <w:trPr/>
        <w:tc>
          <w:tcPr>
            <w:tcW w:w="2807"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Czy przeciwko deweloperowi prowadzono lub prowadzi się postępowania egzekucyjne na kwotę powyżej 100 000 zł</w:t>
            </w:r>
          </w:p>
        </w:tc>
        <w:tc>
          <w:tcPr>
            <w:tcW w:w="68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b w:val="false"/>
                <w:bCs w:val="false"/>
                <w:sz w:val="20"/>
                <w:szCs w:val="20"/>
              </w:rPr>
              <w:t>Nie</w:t>
            </w:r>
          </w:p>
        </w:tc>
      </w:tr>
    </w:tbl>
    <w:p>
      <w:pPr>
        <w:pStyle w:val="Normal"/>
        <w:spacing w:lineRule="auto" w:line="240" w:before="144" w:after="0"/>
        <w:jc w:val="both"/>
        <w:rPr>
          <w:rFonts w:ascii="Calibri" w:hAnsi="Calibri" w:eastAsia="Times New Roman" w:cs="Times New Roman"/>
          <w:b/>
          <w:bCs/>
          <w:sz w:val="16"/>
          <w:szCs w:val="20"/>
        </w:rPr>
      </w:pPr>
      <w:r>
        <w:rPr>
          <w:rFonts w:eastAsia="Times New Roman" w:cs="Times New Roman"/>
          <w:b/>
          <w:bCs/>
          <w:sz w:val="16"/>
          <w:szCs w:val="20"/>
        </w:rPr>
      </w:r>
    </w:p>
    <w:p>
      <w:pPr>
        <w:pStyle w:val="Normal"/>
        <w:widowControl w:val="false"/>
        <w:numPr>
          <w:ilvl w:val="0"/>
          <w:numId w:val="2"/>
        </w:numPr>
        <w:spacing w:lineRule="auto" w:line="240" w:beforeAutospacing="1" w:after="120"/>
        <w:ind w:left="1077" w:hanging="720"/>
        <w:jc w:val="both"/>
        <w:rPr>
          <w:rFonts w:ascii="Calibri" w:hAnsi="Calibri"/>
        </w:rPr>
      </w:pPr>
      <w:r>
        <w:rPr>
          <w:rFonts w:eastAsia="Times New Roman" w:cs="Times New Roman"/>
          <w:b/>
          <w:bCs/>
          <w:sz w:val="20"/>
          <w:szCs w:val="20"/>
        </w:rPr>
        <w:t>INFORMACJE DOTYCZĄCE NIERUCHOMOŚCI I PRZEDSIĘWZIĘCIA DEWELOPERSKIEGO</w:t>
      </w:r>
    </w:p>
    <w:tbl>
      <w:tblPr>
        <w:tblW w:w="964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10"/>
        <w:gridCol w:w="3414"/>
        <w:gridCol w:w="3424"/>
      </w:tblGrid>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rPr>
                <w:rFonts w:ascii="Calibri" w:hAnsi="Calibri"/>
              </w:rPr>
            </w:pPr>
            <w:r>
              <w:rPr>
                <w:rFonts w:eastAsia="Times New Roman" w:cs="Times New Roman"/>
                <w:b/>
                <w:sz w:val="20"/>
                <w:szCs w:val="20"/>
              </w:rPr>
              <w:t>INFORMACJE DOTYCZĄCE GRUNTU I ZAGOSPODAROWANIA PRZESTRZENNEGO TERENU</w:t>
            </w:r>
          </w:p>
          <w:p>
            <w:pPr>
              <w:pStyle w:val="Normal"/>
              <w:widowControl w:val="false"/>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w:r>
          </w:p>
        </w:tc>
      </w:tr>
      <w:tr>
        <w:trPr>
          <w:trHeight w:val="13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Adres i numer działki ewidencyjnej i obrębu</w:t>
            </w:r>
            <w:r>
              <w:rPr>
                <w:rStyle w:val="Zakotwiczenieprzypisudolnego"/>
                <w:rFonts w:eastAsia="Times New Roman" w:cs="Times New Roman"/>
                <w:sz w:val="20"/>
                <w:szCs w:val="20"/>
                <w:vertAlign w:val="superscript"/>
              </w:rPr>
              <w:footnoteReference w:customMarkFollows="1" w:id="2"/>
              <w:t>1)</w:t>
            </w:r>
            <w:r>
              <w:rPr>
                <w:rFonts w:eastAsia="Times New Roman" w:cs="Times New Roman"/>
                <w:sz w:val="20"/>
                <w:szCs w:val="20"/>
                <w:vertAlign w:val="superscript"/>
              </w:rPr>
              <w:t>1)1)1)1)1)</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Działak nr 904/34, obręb Kobylanka, gmina Kobylanka, nr obrębu 0004</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Numer księgi wieczystej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SZ1T/00099258/6</w:t>
            </w:r>
          </w:p>
        </w:tc>
      </w:tr>
      <w:tr>
        <w:trPr>
          <w:trHeight w:val="9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Istniejące obciążenia hipoteczne nieruchomości lub wnioski o wpis w dziale czwartym księgi wieczystej</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Brak </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W przypadku braku księgi wieczystej informacja o powierzchni działki i stanie prawnym nieruchomości</w:t>
            </w:r>
            <w:r>
              <w:rPr>
                <w:rStyle w:val="Zakotwiczenieprzypisudolnego"/>
                <w:rFonts w:eastAsia="Times New Roman" w:cs="Times New Roman"/>
                <w:sz w:val="20"/>
                <w:szCs w:val="20"/>
                <w:vertAlign w:val="superscript"/>
              </w:rPr>
              <w:footnoteReference w:customMarkFollows="1" w:id="3"/>
              <w:t>2)</w:t>
            </w:r>
            <w:r>
              <w:rPr>
                <w:rFonts w:eastAsia="Times New Roman" w:cs="Times New Roman"/>
                <w:sz w:val="20"/>
                <w:szCs w:val="20"/>
                <w:vertAlign w:val="superscript"/>
              </w:rPr>
              <w:t>2)2)2)2)2)</w:t>
            </w:r>
            <w:r>
              <w:rPr>
                <w:rFonts w:eastAsia="Times New Roman" w:cs="Times New Roman"/>
                <w:sz w:val="20"/>
                <w:szCs w:val="20"/>
              </w:rPr>
              <w:t xml:space="preserve">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t>-</w:t>
            </w:r>
          </w:p>
        </w:tc>
      </w:tr>
      <w:tr>
        <w:trPr>
          <w:trHeight w:val="97"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Informacje dotyczące obiektów istniejących położonych w sąsiedztwie inwestycji i wpływających na warunki życia</w:t>
            </w:r>
            <w:r>
              <w:rPr>
                <w:rStyle w:val="Zakotwiczenieprzypisudolnego"/>
                <w:rFonts w:eastAsia="Times New Roman" w:cs="Times New Roman"/>
                <w:sz w:val="20"/>
                <w:szCs w:val="20"/>
                <w:vertAlign w:val="superscript"/>
              </w:rPr>
              <w:footnoteReference w:customMarkFollows="1" w:id="4"/>
              <w:t>3)</w:t>
            </w:r>
            <w:r>
              <w:rPr>
                <w:rFonts w:eastAsia="Times New Roman" w:cs="Times New Roman"/>
                <w:sz w:val="20"/>
                <w:szCs w:val="20"/>
                <w:vertAlign w:val="superscript"/>
              </w:rPr>
              <w:t>3)3)3)3)3)</w:t>
            </w:r>
            <w:r>
              <w:rPr>
                <w:rFonts w:eastAsia="Times New Roman" w:cs="Times New Roman"/>
                <w:sz w:val="20"/>
                <w:szCs w:val="20"/>
              </w:rPr>
              <w:t xml:space="preserve"> </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suppressAutoHyphens w:val="true"/>
              <w:spacing w:before="0" w:after="280"/>
              <w:jc w:val="left"/>
              <w:rPr>
                <w:rFonts w:ascii="Calibri" w:hAnsi="Calibri"/>
              </w:rPr>
            </w:pPr>
            <w:r>
              <w:rPr>
                <w:rFonts w:cs="Calibri" w:ascii="Calibri" w:hAnsi="Calibri" w:asciiTheme="minorHAnsi" w:cstheme="minorHAnsi" w:hAnsiTheme="minorHAnsi"/>
                <w:kern w:val="0"/>
                <w:sz w:val="22"/>
                <w:szCs w:val="22"/>
                <w:lang w:val="pl-PL" w:bidi="ar-SA"/>
              </w:rPr>
              <w:t xml:space="preserve">Obszar nie jest objęty żadnymi formami ochrony przyrody. </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2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Akty planowania przestrzennego i inne akty prawne na podstawie przepisów odrębnych na terenie objętym przedsięwzięciem deweloperskim lub zadaniem inwestycyjnym</w:t>
            </w:r>
          </w:p>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 xml:space="preserve"> </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Ramowe studium uwarunkowań i kierunków zagospodarowania przestrzennego związku metropolitalnego</w:t>
            </w:r>
          </w:p>
        </w:tc>
        <w:tc>
          <w:tcPr>
            <w:tcW w:w="342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Uchwała nr IV/42/24 Rady Gminy Kobylanka z dnia 27.06.2024r.            w sprawie uchwalenia Miejscowego planu zagospodarowania przestrzennego gminy Kobylanka.</w:t>
            </w:r>
          </w:p>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Link do strony www:</w:t>
            </w:r>
          </w:p>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e-dziennik.szczecin.uw.gov.pl/legalact/2024/3615/</w:t>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Studium uwarunkowań i kierunków zagospodarowania przestrzennego gminy</w:t>
            </w:r>
          </w:p>
        </w:tc>
        <w:tc>
          <w:tcPr>
            <w:tcW w:w="3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rPr>
                <w:rFonts w:ascii="Calibri" w:hAnsi="Calibri"/>
              </w:rPr>
            </w:pPr>
            <w:r>
              <w:rPr>
                <w:rFonts w:eastAsia="Times New Roman" w:cs="Times New Roman"/>
                <w:b/>
                <w:bCs/>
                <w:sz w:val="20"/>
                <w:szCs w:val="20"/>
                <w:lang w:eastAsia="pl-PL"/>
              </w:rPr>
              <w:t>Miejscowy plan zagospodarowania przestrzennego</w:t>
            </w:r>
          </w:p>
        </w:tc>
        <w:tc>
          <w:tcPr>
            <w:tcW w:w="3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Miejscowy plan rewitalizacji - brak</w:t>
            </w:r>
          </w:p>
        </w:tc>
        <w:tc>
          <w:tcPr>
            <w:tcW w:w="3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Miejscowy plan odbudowy  - brak</w:t>
            </w:r>
          </w:p>
        </w:tc>
        <w:tc>
          <w:tcPr>
            <w:tcW w:w="3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17"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Inne</w:t>
            </w:r>
            <w:r>
              <w:rPr>
                <w:rStyle w:val="Zakotwiczenieprzypisudolnego"/>
                <w:rFonts w:eastAsia="Times New Roman" w:cs="Times New Roman"/>
                <w:sz w:val="20"/>
                <w:szCs w:val="20"/>
                <w:vertAlign w:val="superscript"/>
                <w:lang w:eastAsia="pl-PL"/>
              </w:rPr>
              <w:footnoteReference w:customMarkFollows="1" w:id="5"/>
              <w:t>4)</w:t>
            </w:r>
            <w:r>
              <w:rPr>
                <w:rFonts w:eastAsia="Times New Roman" w:cs="Times New Roman"/>
                <w:sz w:val="20"/>
                <w:szCs w:val="20"/>
                <w:vertAlign w:val="superscript"/>
                <w:lang w:eastAsia="pl-PL"/>
              </w:rPr>
              <w:t>4)4)4)4)4)</w:t>
            </w:r>
            <w:r>
              <w:rPr>
                <w:rFonts w:eastAsia="Times New Roman" w:cs="Times New Roman"/>
                <w:sz w:val="20"/>
                <w:szCs w:val="20"/>
                <w:lang w:eastAsia="pl-PL"/>
              </w:rPr>
              <w:t xml:space="preserve"> </w:t>
            </w:r>
          </w:p>
        </w:tc>
        <w:tc>
          <w:tcPr>
            <w:tcW w:w="342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60"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Ustalenia obowiązującego miejscowego planu zagospodarowania przestrzennego dla terenu objętego przedsięwzięciem deweloperskim lub zadaniem inwestycyjnym</w:t>
            </w:r>
            <w:r>
              <w:rPr>
                <w:rFonts w:eastAsia="Times New Roman" w:cs="Times New Roman"/>
                <w:sz w:val="20"/>
                <w:szCs w:val="20"/>
              </w:rPr>
              <w:t xml:space="preserve"> </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Przeznaczenie terenu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Teren zabudowy mieszkaniowej jednorodzinnej</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Maksymalna i minimalna intensywność zabudowy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max 0,6</w:t>
            </w:r>
          </w:p>
          <w:p>
            <w:pPr>
              <w:pStyle w:val="Normal"/>
              <w:widowControl w:val="false"/>
              <w:spacing w:lineRule="auto" w:line="240" w:before="144" w:after="144"/>
              <w:jc w:val="both"/>
              <w:rPr>
                <w:rFonts w:ascii="Calibri" w:hAnsi="Calibri"/>
              </w:rPr>
            </w:pPr>
            <w:r>
              <w:rPr>
                <w:rFonts w:eastAsia="Times New Roman" w:cs="Times New Roman"/>
                <w:sz w:val="20"/>
                <w:szCs w:val="20"/>
              </w:rPr>
              <w:t>- min 0,005</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Maksymalna wysokość zabudowy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9 m</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Minimalny udział procentowy powierzchni biologicznie czynnej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60%</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Minimalna liczba miejsc do parkowania</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2 miejsca na lokal</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ochrony środowiska i zdrowia ludzi, przyrody i krajobrazu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obowiązują ustalenia § 9 ww. </w:t>
            </w:r>
            <w:r>
              <w:rPr>
                <w:rFonts w:eastAsia="Times New Roman" w:cs="Times New Roman"/>
                <w:sz w:val="20"/>
                <w:szCs w:val="20"/>
                <w:lang w:eastAsia="pl-PL"/>
              </w:rPr>
              <w:t>Uchwały nr IV/42/24 Rady Gminy Kobylanka</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Wymagania dotyczące zabudowy i zagospodarowania terenu położonego na obszarach szczególnego zagrożenia powodzią</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ochrony dziedzictwa kulturowego i zabytków oraz dóbr kultury współczesnej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Calibri" w:cs="Calibri" w:cstheme="minorHAnsi"/>
                <w:kern w:val="0"/>
                <w:sz w:val="22"/>
                <w:szCs w:val="22"/>
                <w:lang w:val="pl-PL" w:eastAsia="en-US" w:bidi="ar-SA"/>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Wymagania dotyczące ochrony innych terenów lub obiektów podlegających ochronie na podstawie przepisów odrębnych</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Nie dotyczy</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i szczegółowe zasady obsługi w zakresie komunikacji</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Komunikacja z drogi wewnętrznej oznaczonej symbolem 09KDW oraz drogi dojazdowej 03KDD. </w:t>
            </w:r>
          </w:p>
        </w:tc>
      </w:tr>
      <w:tr>
        <w:trPr>
          <w:trHeight w:val="5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i szczegółowe zasady obsługi w zakresie infrastruktury technicznej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xml:space="preserve">Zaopatrzenie w wodę, energię elektryczną, gaz, obsługę telekomunikacyjną oraz odprowadzanie ścieków sanitarnych i wód opadowych istniejącymi i projektowanymi sieciami – zgodnie z ustaleniami zawartymi w § 16 Uchwały. </w:t>
            </w:r>
          </w:p>
        </w:tc>
      </w:tr>
      <w:tr>
        <w:trPr>
          <w:trHeight w:val="288"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Pr>
                <w:rStyle w:val="Zakotwiczenieprzypisudolnego"/>
                <w:rFonts w:eastAsia="Times New Roman" w:cs="Times New Roman"/>
                <w:sz w:val="20"/>
                <w:szCs w:val="20"/>
                <w:vertAlign w:val="superscript"/>
                <w:lang w:eastAsia="pl-PL"/>
              </w:rPr>
              <w:footnoteReference w:customMarkFollows="1" w:id="6"/>
              <w:t>*</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Przeznaczenie terenu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8MN - teren zabudowy mieszkaniowej jednorodzinnej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07KDW - </w:t>
            </w:r>
            <w:r>
              <w:rPr/>
              <w:t xml:space="preserve">teren drogi wewnętrznej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09KDW - </w:t>
            </w:r>
            <w:r>
              <w:rPr/>
              <w:t xml:space="preserve">teren drogi wewnętrznej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17RU - </w:t>
            </w:r>
            <w:r>
              <w:rPr/>
              <w:t>teren obsługi produkcji w gospodarstwie ogrodniczym</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10 MR - teren zabudowy zagrodowej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11ZN.W - teren zieleni naturalnej, urządzenia melioracyjne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9 MNU - teren zabudowy mieszkaniowej jednorodzinnej z dopuszczeniem usług nieuciążliwych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12 MN - teren zabudowy mieszkaniowej jednorodzinnej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14 MN - teren zabudowy mieszkaniowej jednorodzinnej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15 MN - teren zabudowy mieszkaniowej jednorodzinnej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7RPz - teren rolniczy [gospodarka łąkarska lub hodowlana] - grunty rolne z zakazem zabudowy </w:t>
            </w:r>
          </w:p>
          <w:p>
            <w:pPr>
              <w:pStyle w:val="Normal"/>
              <w:widowControl w:val="false"/>
              <w:spacing w:lineRule="auto" w:line="240" w:before="144" w:after="144"/>
              <w:jc w:val="both"/>
              <w:rPr>
                <w:rFonts w:ascii="Calibri" w:hAnsi="Calibri"/>
              </w:rPr>
            </w:pPr>
            <w:r>
              <w:rPr>
                <w:rFonts w:eastAsia="Times New Roman" w:cs="Times New Roman"/>
                <w:sz w:val="20"/>
                <w:szCs w:val="20"/>
              </w:rPr>
              <w:t>16U - teren zabudowy usługowej</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Maksymalna i minimalna intensywność zabudowy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8MN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07KDW --</w:t>
            </w:r>
          </w:p>
          <w:p>
            <w:pPr>
              <w:pStyle w:val="Normal"/>
              <w:widowControl w:val="false"/>
              <w:spacing w:lineRule="auto" w:line="240" w:before="144" w:after="144"/>
              <w:jc w:val="both"/>
              <w:rPr>
                <w:rFonts w:ascii="Calibri" w:hAnsi="Calibri"/>
              </w:rPr>
            </w:pPr>
            <w:r>
              <w:rPr>
                <w:rFonts w:eastAsia="Times New Roman" w:cs="Times New Roman"/>
                <w:sz w:val="20"/>
                <w:szCs w:val="20"/>
              </w:rPr>
              <w:t>09KDW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17RU - </w:t>
            </w:r>
            <w:r>
              <w:rPr/>
              <w:t xml:space="preserve">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10 MR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11ZN.W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9 MNU -  od 0,005 do 0,7</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12 MN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14 MN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15 MN - od 0,05 do 0,6 </w:t>
            </w:r>
          </w:p>
          <w:p>
            <w:pPr>
              <w:pStyle w:val="Normal"/>
              <w:widowControl w:val="false"/>
              <w:spacing w:lineRule="auto" w:line="240" w:before="144" w:after="144"/>
              <w:jc w:val="both"/>
              <w:rPr>
                <w:rFonts w:ascii="Calibri" w:hAnsi="Calibri"/>
              </w:rPr>
            </w:pPr>
            <w:r>
              <w:rPr>
                <w:rFonts w:eastAsia="Times New Roman" w:cs="Times New Roman"/>
                <w:sz w:val="20"/>
                <w:szCs w:val="20"/>
              </w:rPr>
              <w:t>7RPz – od 0 do 0 0,01</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16U – od 0,05 do 0,6 </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Maksymalna wysokość zabudowy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8MN - do 9m</w:t>
            </w:r>
          </w:p>
          <w:p>
            <w:pPr>
              <w:pStyle w:val="Normal"/>
              <w:widowControl w:val="false"/>
              <w:spacing w:lineRule="auto" w:line="240" w:before="144" w:after="144"/>
              <w:jc w:val="both"/>
              <w:rPr>
                <w:rFonts w:ascii="Calibri" w:hAnsi="Calibri"/>
              </w:rPr>
            </w:pPr>
            <w:r>
              <w:rPr>
                <w:rFonts w:eastAsia="Times New Roman" w:cs="Times New Roman"/>
                <w:sz w:val="20"/>
                <w:szCs w:val="20"/>
              </w:rPr>
              <w:t>07KDW --</w:t>
            </w:r>
          </w:p>
          <w:p>
            <w:pPr>
              <w:pStyle w:val="Normal"/>
              <w:widowControl w:val="false"/>
              <w:spacing w:lineRule="auto" w:line="240" w:before="144" w:after="144"/>
              <w:jc w:val="both"/>
              <w:rPr>
                <w:rFonts w:ascii="Calibri" w:hAnsi="Calibri"/>
              </w:rPr>
            </w:pPr>
            <w:r>
              <w:rPr>
                <w:rFonts w:eastAsia="Times New Roman" w:cs="Times New Roman"/>
                <w:sz w:val="20"/>
                <w:szCs w:val="20"/>
              </w:rPr>
              <w:t>09KDW --</w:t>
            </w:r>
          </w:p>
          <w:p>
            <w:pPr>
              <w:pStyle w:val="Normal"/>
              <w:widowControl w:val="false"/>
              <w:spacing w:lineRule="auto" w:line="240" w:before="144" w:after="144"/>
              <w:jc w:val="both"/>
              <w:rPr>
                <w:rFonts w:ascii="Calibri" w:hAnsi="Calibri"/>
              </w:rPr>
            </w:pPr>
            <w:r>
              <w:rPr>
                <w:rFonts w:eastAsia="Times New Roman" w:cs="Times New Roman"/>
                <w:sz w:val="20"/>
                <w:szCs w:val="20"/>
              </w:rPr>
              <w:t>17RU – do 9m</w:t>
            </w:r>
          </w:p>
          <w:p>
            <w:pPr>
              <w:pStyle w:val="Normal"/>
              <w:widowControl w:val="false"/>
              <w:spacing w:lineRule="auto" w:line="240" w:before="144" w:after="144"/>
              <w:jc w:val="both"/>
              <w:rPr>
                <w:rFonts w:ascii="Calibri" w:hAnsi="Calibri"/>
              </w:rPr>
            </w:pPr>
            <w:r>
              <w:rPr>
                <w:rFonts w:eastAsia="Times New Roman" w:cs="Times New Roman"/>
                <w:sz w:val="20"/>
                <w:szCs w:val="20"/>
              </w:rPr>
              <w:t>10 MR – do 9m</w:t>
            </w:r>
          </w:p>
          <w:p>
            <w:pPr>
              <w:pStyle w:val="Normal"/>
              <w:widowControl w:val="false"/>
              <w:spacing w:lineRule="auto" w:line="240" w:before="144" w:after="144"/>
              <w:jc w:val="both"/>
              <w:rPr>
                <w:rFonts w:ascii="Calibri" w:hAnsi="Calibri"/>
              </w:rPr>
            </w:pPr>
            <w:r>
              <w:rPr>
                <w:rFonts w:eastAsia="Times New Roman" w:cs="Times New Roman"/>
                <w:sz w:val="20"/>
                <w:szCs w:val="20"/>
              </w:rPr>
              <w:t>11ZN.W - do 9m</w:t>
            </w:r>
          </w:p>
          <w:p>
            <w:pPr>
              <w:pStyle w:val="Normal"/>
              <w:widowControl w:val="false"/>
              <w:spacing w:lineRule="auto" w:line="240" w:before="144" w:after="144"/>
              <w:jc w:val="both"/>
              <w:rPr>
                <w:rFonts w:ascii="Calibri" w:hAnsi="Calibri"/>
              </w:rPr>
            </w:pPr>
            <w:r>
              <w:rPr>
                <w:rFonts w:eastAsia="Times New Roman" w:cs="Times New Roman"/>
                <w:sz w:val="20"/>
                <w:szCs w:val="20"/>
              </w:rPr>
              <w:t>9 MNU – do 9m</w:t>
            </w:r>
          </w:p>
          <w:p>
            <w:pPr>
              <w:pStyle w:val="Normal"/>
              <w:widowControl w:val="false"/>
              <w:spacing w:lineRule="auto" w:line="240" w:before="144" w:after="144"/>
              <w:jc w:val="both"/>
              <w:rPr>
                <w:rFonts w:ascii="Calibri" w:hAnsi="Calibri"/>
              </w:rPr>
            </w:pPr>
            <w:r>
              <w:rPr>
                <w:rFonts w:eastAsia="Times New Roman" w:cs="Times New Roman"/>
                <w:sz w:val="20"/>
                <w:szCs w:val="20"/>
              </w:rPr>
              <w:t>12 MN - do 9m</w:t>
            </w:r>
          </w:p>
          <w:p>
            <w:pPr>
              <w:pStyle w:val="Normal"/>
              <w:widowControl w:val="false"/>
              <w:spacing w:lineRule="auto" w:line="240" w:before="144" w:after="144"/>
              <w:jc w:val="both"/>
              <w:rPr>
                <w:rFonts w:ascii="Calibri" w:hAnsi="Calibri"/>
              </w:rPr>
            </w:pPr>
            <w:r>
              <w:rPr>
                <w:rFonts w:eastAsia="Times New Roman" w:cs="Times New Roman"/>
                <w:sz w:val="20"/>
                <w:szCs w:val="20"/>
              </w:rPr>
              <w:t>14 MN - do 9m</w:t>
            </w:r>
          </w:p>
          <w:p>
            <w:pPr>
              <w:pStyle w:val="Normal"/>
              <w:widowControl w:val="false"/>
              <w:spacing w:lineRule="auto" w:line="240" w:before="144" w:after="144"/>
              <w:jc w:val="both"/>
              <w:rPr>
                <w:rFonts w:ascii="Calibri" w:hAnsi="Calibri"/>
              </w:rPr>
            </w:pPr>
            <w:r>
              <w:rPr>
                <w:rFonts w:eastAsia="Times New Roman" w:cs="Times New Roman"/>
                <w:sz w:val="20"/>
                <w:szCs w:val="20"/>
              </w:rPr>
              <w:t>15 MN - do 9m</w:t>
            </w:r>
          </w:p>
          <w:p>
            <w:pPr>
              <w:pStyle w:val="Normal"/>
              <w:widowControl w:val="false"/>
              <w:spacing w:lineRule="auto" w:line="240" w:before="144" w:after="144"/>
              <w:jc w:val="both"/>
              <w:rPr>
                <w:rFonts w:ascii="Calibri" w:hAnsi="Calibri"/>
              </w:rPr>
            </w:pPr>
            <w:r>
              <w:rPr>
                <w:rFonts w:eastAsia="Times New Roman" w:cs="Times New Roman"/>
                <w:sz w:val="20"/>
                <w:szCs w:val="20"/>
              </w:rPr>
              <w:t>7RPz --</w:t>
            </w:r>
          </w:p>
          <w:p>
            <w:pPr>
              <w:pStyle w:val="Normal"/>
              <w:widowControl w:val="false"/>
              <w:spacing w:lineRule="auto" w:line="240" w:before="144" w:after="144"/>
              <w:jc w:val="both"/>
              <w:rPr>
                <w:rFonts w:ascii="Calibri" w:hAnsi="Calibri"/>
              </w:rPr>
            </w:pPr>
            <w:r>
              <w:rPr>
                <w:rFonts w:eastAsia="Times New Roman" w:cs="Times New Roman"/>
                <w:sz w:val="20"/>
                <w:szCs w:val="20"/>
              </w:rPr>
              <w:t>16U - do 9m</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Minimalny udział procentowy powierzchni biologicznie czynnej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8MN – 60%</w:t>
            </w:r>
          </w:p>
          <w:p>
            <w:pPr>
              <w:pStyle w:val="Normal"/>
              <w:widowControl w:val="false"/>
              <w:spacing w:lineRule="auto" w:line="240" w:before="144" w:after="144"/>
              <w:jc w:val="both"/>
              <w:rPr>
                <w:rFonts w:ascii="Calibri" w:hAnsi="Calibri"/>
              </w:rPr>
            </w:pPr>
            <w:r>
              <w:rPr>
                <w:rFonts w:eastAsia="Times New Roman" w:cs="Times New Roman"/>
                <w:sz w:val="20"/>
                <w:szCs w:val="20"/>
              </w:rPr>
              <w:t>07KDW --</w:t>
            </w:r>
          </w:p>
          <w:p>
            <w:pPr>
              <w:pStyle w:val="Normal"/>
              <w:widowControl w:val="false"/>
              <w:spacing w:lineRule="auto" w:line="240" w:before="144" w:after="144"/>
              <w:jc w:val="both"/>
              <w:rPr>
                <w:rFonts w:ascii="Calibri" w:hAnsi="Calibri"/>
              </w:rPr>
            </w:pPr>
            <w:r>
              <w:rPr>
                <w:rFonts w:eastAsia="Times New Roman" w:cs="Times New Roman"/>
                <w:sz w:val="20"/>
                <w:szCs w:val="20"/>
              </w:rPr>
              <w:t>09KDW --</w:t>
            </w:r>
          </w:p>
          <w:p>
            <w:pPr>
              <w:pStyle w:val="Normal"/>
              <w:widowControl w:val="false"/>
              <w:spacing w:lineRule="auto" w:line="240" w:before="144" w:after="144"/>
              <w:jc w:val="both"/>
              <w:rPr>
                <w:rFonts w:ascii="Calibri" w:hAnsi="Calibri"/>
              </w:rPr>
            </w:pPr>
            <w:r>
              <w:rPr>
                <w:rFonts w:eastAsia="Times New Roman" w:cs="Times New Roman"/>
                <w:sz w:val="20"/>
                <w:szCs w:val="20"/>
              </w:rPr>
              <w:t>17RU – 40%</w:t>
            </w:r>
          </w:p>
          <w:p>
            <w:pPr>
              <w:pStyle w:val="Normal"/>
              <w:widowControl w:val="false"/>
              <w:spacing w:lineRule="auto" w:line="240" w:before="144" w:after="144"/>
              <w:jc w:val="both"/>
              <w:rPr>
                <w:rFonts w:ascii="Calibri" w:hAnsi="Calibri"/>
              </w:rPr>
            </w:pPr>
            <w:r>
              <w:rPr>
                <w:rFonts w:eastAsia="Times New Roman" w:cs="Times New Roman"/>
                <w:sz w:val="20"/>
                <w:szCs w:val="20"/>
              </w:rPr>
              <w:t>10 MR – 50%</w:t>
            </w:r>
          </w:p>
          <w:p>
            <w:pPr>
              <w:pStyle w:val="Normal"/>
              <w:widowControl w:val="false"/>
              <w:spacing w:lineRule="auto" w:line="240" w:before="144" w:after="144"/>
              <w:jc w:val="both"/>
              <w:rPr>
                <w:rFonts w:ascii="Calibri" w:hAnsi="Calibri"/>
              </w:rPr>
            </w:pPr>
            <w:r>
              <w:rPr>
                <w:rFonts w:eastAsia="Times New Roman" w:cs="Times New Roman"/>
                <w:sz w:val="20"/>
                <w:szCs w:val="20"/>
              </w:rPr>
              <w:t>11ZN.W – 80%</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9 MNU - </w:t>
            </w:r>
            <w:r>
              <w:rPr/>
              <w:t xml:space="preserve">40% </w:t>
            </w:r>
          </w:p>
          <w:p>
            <w:pPr>
              <w:pStyle w:val="Normal"/>
              <w:widowControl w:val="false"/>
              <w:spacing w:lineRule="auto" w:line="240" w:before="144" w:after="144"/>
              <w:jc w:val="both"/>
              <w:rPr>
                <w:rFonts w:ascii="Calibri" w:hAnsi="Calibri"/>
              </w:rPr>
            </w:pPr>
            <w:r>
              <w:rPr>
                <w:rFonts w:eastAsia="Times New Roman" w:cs="Times New Roman"/>
                <w:sz w:val="20"/>
                <w:szCs w:val="20"/>
              </w:rPr>
              <w:t>12 MN – 60%</w:t>
            </w:r>
          </w:p>
          <w:p>
            <w:pPr>
              <w:pStyle w:val="Normal"/>
              <w:widowControl w:val="false"/>
              <w:spacing w:lineRule="auto" w:line="240" w:before="144" w:after="144"/>
              <w:jc w:val="both"/>
              <w:rPr>
                <w:rFonts w:ascii="Calibri" w:hAnsi="Calibri"/>
              </w:rPr>
            </w:pPr>
            <w:r>
              <w:rPr>
                <w:rFonts w:eastAsia="Times New Roman" w:cs="Times New Roman"/>
                <w:sz w:val="20"/>
                <w:szCs w:val="20"/>
              </w:rPr>
              <w:t>14 MN – 60%</w:t>
            </w:r>
          </w:p>
          <w:p>
            <w:pPr>
              <w:pStyle w:val="Normal"/>
              <w:widowControl w:val="false"/>
              <w:spacing w:lineRule="auto" w:line="240" w:before="144" w:after="144"/>
              <w:jc w:val="both"/>
              <w:rPr>
                <w:rFonts w:ascii="Calibri" w:hAnsi="Calibri"/>
              </w:rPr>
            </w:pPr>
            <w:r>
              <w:rPr>
                <w:rFonts w:eastAsia="Times New Roman" w:cs="Times New Roman"/>
                <w:sz w:val="20"/>
                <w:szCs w:val="20"/>
              </w:rPr>
              <w:t>15 MN – 60%</w:t>
            </w:r>
          </w:p>
          <w:p>
            <w:pPr>
              <w:pStyle w:val="Normal"/>
              <w:widowControl w:val="false"/>
              <w:spacing w:lineRule="auto" w:line="240" w:before="144" w:after="144"/>
              <w:jc w:val="both"/>
              <w:rPr>
                <w:rFonts w:ascii="Calibri" w:hAnsi="Calibri"/>
              </w:rPr>
            </w:pPr>
            <w:r>
              <w:rPr>
                <w:rFonts w:eastAsia="Times New Roman" w:cs="Times New Roman"/>
                <w:sz w:val="20"/>
                <w:szCs w:val="20"/>
              </w:rPr>
              <w:t>7RPz --</w:t>
            </w:r>
          </w:p>
          <w:p>
            <w:pPr>
              <w:pStyle w:val="Normal"/>
              <w:widowControl w:val="false"/>
              <w:spacing w:lineRule="auto" w:line="240" w:before="144" w:after="144"/>
              <w:jc w:val="both"/>
              <w:rPr>
                <w:rFonts w:ascii="Calibri" w:hAnsi="Calibri"/>
              </w:rPr>
            </w:pPr>
            <w:r>
              <w:rPr>
                <w:rFonts w:eastAsia="Times New Roman" w:cs="Times New Roman"/>
                <w:sz w:val="20"/>
                <w:szCs w:val="20"/>
              </w:rPr>
              <w:t>16U – 50%</w:t>
            </w:r>
          </w:p>
        </w:tc>
      </w:tr>
      <w:tr>
        <w:trPr>
          <w:trHeight w:val="288"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Minimalna liczba miejsc do parkowania</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8MN - 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07KDW --</w:t>
            </w:r>
          </w:p>
          <w:p>
            <w:pPr>
              <w:pStyle w:val="Normal"/>
              <w:widowControl w:val="false"/>
              <w:spacing w:lineRule="auto" w:line="240" w:before="144" w:after="144"/>
              <w:jc w:val="both"/>
              <w:rPr>
                <w:rFonts w:ascii="Calibri" w:hAnsi="Calibri"/>
              </w:rPr>
            </w:pPr>
            <w:r>
              <w:rPr>
                <w:rFonts w:eastAsia="Times New Roman" w:cs="Times New Roman"/>
                <w:sz w:val="20"/>
                <w:szCs w:val="20"/>
              </w:rPr>
              <w:t>09KDW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17RU - min. 1 miejsca postojowe dla samochodów osobowych na trzech zatrudnionych.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10 MR - 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11ZN.W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9 MNU - </w:t>
            </w:r>
            <w:r>
              <w:rPr/>
              <w:t xml:space="preserve">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12 MN - 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14 MN - 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15 MN - min. 2 miejsca postojowe na lokal mieszkalny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7RPz - min. 1 miejsca postojowe dla samochodów osobowych na trzech zatrudnionych </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16U - 1 miejsce postojowe na każde 50 m2 powierzchni użytkowej </w:t>
            </w:r>
          </w:p>
        </w:tc>
      </w:tr>
      <w:tr>
        <w:trPr>
          <w:trHeight w:val="1687"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rPr>
            </w:pPr>
            <w:r>
              <w:rPr>
                <w:rFonts w:eastAsia="Times New Roman" w:cs="Times New Roman"/>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rPr>
            </w:pPr>
            <w:r>
              <w:rPr>
                <w:rFonts w:eastAsia="Times New Roman" w:cs="Times New Roman"/>
                <w:sz w:val="20"/>
                <w:szCs w:val="20"/>
              </w:rPr>
              <w:t>Funkcja zabudowy i zagospodarowania terenu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Univers-PL" w:cs="Times New Roman"/>
                <w:sz w:val="20"/>
                <w:szCs w:val="20"/>
                <w:lang w:eastAsia="pl-PL"/>
              </w:rPr>
            </w:pPr>
            <w:r>
              <w:rPr>
                <w:rFonts w:eastAsia="Univers-PL" w:cs="Times New Roman"/>
                <w:sz w:val="20"/>
                <w:szCs w:val="20"/>
                <w:lang w:eastAsia="pl-PL"/>
              </w:rPr>
            </w:r>
          </w:p>
          <w:p>
            <w:pPr>
              <w:pStyle w:val="Normal"/>
              <w:widowControl w:val="false"/>
              <w:spacing w:lineRule="auto" w:line="240" w:before="144" w:after="144"/>
              <w:jc w:val="both"/>
              <w:rPr>
                <w:rFonts w:ascii="Calibri" w:hAnsi="Calibri" w:eastAsia="Univers-PL" w:cs="Times New Roman"/>
                <w:sz w:val="20"/>
                <w:szCs w:val="20"/>
                <w:lang w:eastAsia="pl-PL"/>
              </w:rPr>
            </w:pPr>
            <w:r>
              <w:rPr>
                <w:rFonts w:eastAsia="Univers-PL" w:cs="Times New Roman"/>
                <w:sz w:val="20"/>
                <w:szCs w:val="20"/>
                <w:lang w:eastAsia="pl-PL"/>
              </w:rPr>
            </w:r>
          </w:p>
          <w:p>
            <w:pPr>
              <w:pStyle w:val="Normal"/>
              <w:widowControl w:val="false"/>
              <w:spacing w:lineRule="auto" w:line="240" w:before="144" w:after="144"/>
              <w:jc w:val="both"/>
              <w:rPr>
                <w:rFonts w:ascii="Calibri" w:hAnsi="Calibri"/>
              </w:rPr>
            </w:pPr>
            <w:r>
              <w:rPr>
                <w:rFonts w:eastAsia="Univers-PL" w:cs="Times New Roman"/>
                <w:sz w:val="20"/>
                <w:szCs w:val="20"/>
                <w:lang w:eastAsia="pl-PL"/>
              </w:rPr>
              <w:t>Sposób użytkowania obiektów budowlanych oraz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Cechy zabudowy i zagospodarowania terenu:</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gabaryty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forma architektoniczna</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usytuowanie linii zabudowy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intensywność wykorzystania terenu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ochrony środowiska i zdrowia ludzi, przyrody i krajobrazu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wymagania dotyczące zabudowy i zagospodarowania terenu położonego na obszarach szczególnego zagrożenia powodzią</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ochrony dziedzictwa kulturowego i zabytków oraz dóbr kultury współczesnej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wymagania dotyczące ochrony innych terenów lub obiektów podlegających ochronie na podstawie przepisów odrębnych</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i szczegółowe zasady obsługi w zakresie komunikacji</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warunki i szczegółowe zasady obsługi w zakresie infrastruktury technicznej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3"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Informacje dotyczące przewidzianych inwestycji w promieniu 1 km od przedmiotowej nieruchomości</w:t>
            </w:r>
            <w:r>
              <w:rPr>
                <w:rStyle w:val="Zakotwiczenieprzypisudolnego"/>
                <w:rFonts w:eastAsia="Times New Roman" w:cs="Times New Roman"/>
                <w:sz w:val="20"/>
                <w:szCs w:val="20"/>
                <w:vertAlign w:val="superscript"/>
              </w:rPr>
              <w:footnoteReference w:customMarkFollows="1" w:id="7"/>
              <w:t>5)</w:t>
            </w:r>
            <w:r>
              <w:rPr>
                <w:rFonts w:eastAsia="Times New Roman" w:cs="Times New Roman"/>
                <w:sz w:val="20"/>
                <w:szCs w:val="20"/>
                <w:vertAlign w:val="superscript"/>
              </w:rPr>
              <w:t>5)5)5)5)5)</w:t>
            </w:r>
            <w:r>
              <w:rPr>
                <w:rFonts w:eastAsia="Times New Roman" w:cs="Times New Roman"/>
                <w:sz w:val="20"/>
                <w:szCs w:val="20"/>
              </w:rPr>
              <w:t>, zawarte w:</w:t>
            </w:r>
          </w:p>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miejscowych planach zagospodarowania przestrzennego</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studium uwarunkowań i kierunków zagospodarowania przestrzennego gminy </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Calibri" w:hAnsi="Calibri"/>
              </w:rPr>
            </w:pPr>
            <w:r>
              <w:rPr>
                <w:rFonts w:eastAsia="Times New Roman" w:cs="Times New Roman"/>
                <w:sz w:val="20"/>
                <w:szCs w:val="20"/>
                <w:lang w:eastAsia="pl-PL"/>
              </w:rPr>
              <w:t>decyzjach o warunkach zabudowy i zagospodarowania terenu</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decyzjach o środowiskowych uwarunkowaniach</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decyzjach o obszarach ograniczonego użytkowania</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miejscowych planach odbudowy</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mapach zagrożenia powodziowego i mapach ryzyka powodziowego</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7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Calibri" w:hAnsi="Calibri"/>
              </w:rPr>
            </w:pPr>
            <w:r>
              <w:rPr>
                <w:rFonts w:eastAsia="Times New Roman" w:cs="Times New Roman"/>
                <w:sz w:val="20"/>
                <w:szCs w:val="20"/>
                <w:lang w:eastAsia="pl-PL"/>
              </w:rPr>
              <w:t>Ustalenia decyzji w zakresie rozmieszczenia inwestycji celu publicznego, mogące mieć znaczenie dla terenu objętego przedsięwzięciem deweloperskim lub zadaniem inwestycyjnym:</w:t>
            </w:r>
          </w:p>
          <w:p>
            <w:pPr>
              <w:pStyle w:val="Normal"/>
              <w:widowControl w:val="false"/>
              <w:spacing w:lineRule="auto" w:line="240" w:before="0" w:after="0"/>
              <w:rPr>
                <w:rFonts w:ascii="Calibri" w:hAnsi="Calibri" w:eastAsia="Times New Roman" w:cs="Times New Roman"/>
                <w:sz w:val="20"/>
                <w:szCs w:val="20"/>
              </w:rPr>
            </w:pPr>
            <w:r>
              <w:rPr>
                <w:rFonts w:eastAsia="Times New Roman" w:cs="Times New Roman"/>
                <w:sz w:val="20"/>
                <w:szCs w:val="20"/>
              </w:rPr>
            </w:r>
          </w:p>
        </w:tc>
      </w:tr>
      <w:tr>
        <w:trPr>
          <w:trHeight w:val="84"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zezwoleniu na realizację inwestycji drogowej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ustaleniu lokalizacji linii kolejowej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zezwoleniu na realizację inwestycji w zakresie lotniska użytku publicznego</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pozwoleniu na realizację inwestycji w zakresie budowli przeciwpowodziowych</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ustaleniu lokalizacji inwestycji w zakresie budowy obiektu energetyki jądrowej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ustaleniu lokalizacji strategicznej inwestycji w zakresie sieci przesyłowej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ustaleniu lokalizacji regionalnej sieci szerokopasmowej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decyzja o ustaleniu lokalizacji inwestycji w zakresie Centralnego Portu Komunikacyjnego </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o zezwoleniu na realizację inwestycji w zakresie infrastruktury dostępowej</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81"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0" w:after="0"/>
              <w:rPr>
                <w:rFonts w:ascii="Calibri" w:hAnsi="Calibri" w:eastAsia="Times New Roman" w:cs="Times New Roman"/>
                <w:sz w:val="20"/>
                <w:szCs w:val="20"/>
                <w:lang w:eastAsia="pl-PL"/>
              </w:rPr>
            </w:pPr>
            <w:r>
              <w:rPr>
                <w:rFonts w:eastAsia="Times New Roman" w:cs="Times New Roman"/>
                <w:sz w:val="20"/>
                <w:szCs w:val="20"/>
                <w:lang w:eastAsia="pl-PL"/>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lang w:eastAsia="pl-PL"/>
              </w:rPr>
              <w:t>decyzja o ustaleniu lokalizacji strategicznej inwestycji w sektorze naftowym</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39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Calibri" w:hAnsi="Calibri"/>
              </w:rPr>
            </w:pPr>
            <w:r>
              <w:rPr>
                <w:rFonts w:eastAsia="Times New Roman" w:cs="Times New Roman"/>
                <w:b/>
                <w:sz w:val="20"/>
                <w:szCs w:val="20"/>
              </w:rPr>
              <w:t>INFORMACJE DOTYCZĄCE BUDYNKU</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Czy jest pozwolenie na budowę</w:t>
              <w:br/>
            </w:r>
          </w:p>
        </w:tc>
        <w:tc>
          <w:tcPr>
            <w:tcW w:w="3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position w:val="0"/>
                <w:sz w:val="22"/>
                <w:vertAlign w:val="baseline"/>
              </w:rPr>
            </w:pPr>
            <w:r>
              <w:rPr>
                <w:position w:val="0"/>
                <w:sz w:val="22"/>
                <w:vertAlign w:val="baseline"/>
              </w:rPr>
              <w:t>Tak</w:t>
            </w:r>
          </w:p>
        </w:tc>
        <w:tc>
          <w:tcPr>
            <w:tcW w:w="3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rFonts w:ascii="Calibri" w:hAnsi="Calibri" w:eastAsia="Times New Roman" w:cs="Times New Roman"/>
                <w:sz w:val="20"/>
                <w:szCs w:val="20"/>
              </w:rPr>
            </w:pPr>
            <w:r>
              <w:rPr>
                <w:rFonts w:eastAsia="Times New Roman" w:cs="Times New Roman"/>
                <w:sz w:val="20"/>
                <w:szCs w:val="20"/>
              </w:rPr>
            </w:r>
          </w:p>
        </w:tc>
      </w:tr>
      <w:tr>
        <w:trPr>
          <w:trHeight w:val="84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Czy pozwolenie na budowę jest ostateczne</w:t>
            </w:r>
          </w:p>
        </w:tc>
        <w:tc>
          <w:tcPr>
            <w:tcW w:w="3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rFonts w:ascii="Calibri" w:hAnsi="Calibri"/>
              </w:rPr>
            </w:pPr>
            <w:r>
              <w:rPr>
                <w:rFonts w:eastAsia="Times New Roman" w:cs="Times New Roman"/>
                <w:sz w:val="20"/>
                <w:szCs w:val="20"/>
              </w:rPr>
              <w:t>Tak</w:t>
            </w:r>
          </w:p>
        </w:tc>
        <w:tc>
          <w:tcPr>
            <w:tcW w:w="3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rFonts w:ascii="Calibri" w:hAnsi="Calibri" w:eastAsia="Times New Roman" w:cs="Times New Roman"/>
                <w:sz w:val="20"/>
                <w:szCs w:val="20"/>
              </w:rPr>
            </w:pPr>
            <w:r>
              <w:rPr>
                <w:rFonts w:eastAsia="Times New Roman" w:cs="Times New Roman"/>
                <w:sz w:val="20"/>
                <w:szCs w:val="20"/>
              </w:rPr>
            </w:r>
          </w:p>
        </w:tc>
      </w:tr>
      <w:tr>
        <w:trPr>
          <w:trHeight w:val="390"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Czy pozwolenie na budowę jest zaskarżone</w:t>
            </w:r>
          </w:p>
        </w:tc>
        <w:tc>
          <w:tcPr>
            <w:tcW w:w="34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rFonts w:ascii="Calibri" w:hAnsi="Calibri" w:eastAsia="Times New Roman" w:cs="Times New Roman"/>
                <w:sz w:val="20"/>
                <w:szCs w:val="20"/>
              </w:rPr>
            </w:pPr>
            <w:r>
              <w:rPr>
                <w:rFonts w:eastAsia="Times New Roman" w:cs="Times New Roman"/>
                <w:sz w:val="20"/>
                <w:szCs w:val="20"/>
              </w:rPr>
            </w:r>
          </w:p>
        </w:tc>
        <w:tc>
          <w:tcPr>
            <w:tcW w:w="3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144" w:after="144"/>
              <w:jc w:val="center"/>
              <w:rPr>
                <w:rFonts w:ascii="Calibri" w:hAnsi="Calibri"/>
              </w:rPr>
            </w:pPr>
            <w:r>
              <w:rPr>
                <w:rFonts w:eastAsia="Times New Roman" w:cs="Times New Roman"/>
                <w:sz w:val="20"/>
                <w:szCs w:val="20"/>
              </w:rPr>
              <w:t>Nie</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Numer pozwolenia na budowę oraz nazwa organu, który je wydał</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Decyzja nr 432/2025 wydana przez Starostę Stargardzkiego w dniu 21.05.2025r.</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Data uprawomocnienia się decyzji o pozwoleniu na użytkowanie budynku</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Data zakończenia budowy domu jednorodzinnego </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Termin zakończenia budowy:</w:t>
            </w:r>
          </w:p>
          <w:p>
            <w:pPr>
              <w:pStyle w:val="Normal"/>
              <w:widowControl w:val="false"/>
              <w:spacing w:lineRule="auto" w:line="240" w:before="144" w:after="144"/>
              <w:jc w:val="both"/>
              <w:rPr>
                <w:rFonts w:ascii="Calibri" w:hAnsi="Calibri"/>
              </w:rPr>
            </w:pPr>
            <w:r>
              <w:rPr>
                <w:rFonts w:eastAsia="Times New Roman" w:cs="Times New Roman"/>
                <w:sz w:val="20"/>
                <w:szCs w:val="20"/>
              </w:rPr>
              <w:t>- budynek C – 31.12.2026r.</w:t>
            </w:r>
          </w:p>
        </w:tc>
      </w:tr>
      <w:tr>
        <w:trPr>
          <w:trHeight w:val="195"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Planowany termin rozpoczęcia i zakończenia robót budowlanych</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Termin rozpoczęcia budowy:</w:t>
            </w:r>
          </w:p>
          <w:p>
            <w:pPr>
              <w:pStyle w:val="Normal"/>
              <w:widowControl w:val="false"/>
              <w:spacing w:lineRule="auto" w:line="240" w:before="144" w:after="144"/>
              <w:jc w:val="both"/>
              <w:rPr>
                <w:rFonts w:ascii="Calibri" w:hAnsi="Calibri"/>
              </w:rPr>
            </w:pPr>
            <w:r>
              <w:rPr>
                <w:rFonts w:eastAsia="Times New Roman" w:cs="Times New Roman"/>
                <w:sz w:val="20"/>
                <w:szCs w:val="20"/>
              </w:rPr>
              <w:t>- budynek C – 31.07.2025r.</w:t>
            </w:r>
          </w:p>
          <w:p>
            <w:pPr>
              <w:pStyle w:val="Normal"/>
              <w:widowControl w:val="false"/>
              <w:spacing w:lineRule="auto" w:line="240" w:before="144" w:after="144"/>
              <w:jc w:val="both"/>
              <w:rPr>
                <w:rFonts w:ascii="Calibri" w:hAnsi="Calibri"/>
              </w:rPr>
            </w:pPr>
            <w:r>
              <w:rPr>
                <w:rFonts w:eastAsia="Times New Roman" w:cs="Times New Roman"/>
                <w:sz w:val="20"/>
                <w:szCs w:val="20"/>
              </w:rPr>
              <w:t>Termin zakończenia budowy:</w:t>
            </w:r>
          </w:p>
          <w:p>
            <w:pPr>
              <w:pStyle w:val="Normal"/>
              <w:widowControl w:val="false"/>
              <w:spacing w:lineRule="auto" w:line="240" w:before="144" w:after="144"/>
              <w:jc w:val="both"/>
              <w:rPr>
                <w:rFonts w:ascii="Calibri" w:hAnsi="Calibri"/>
              </w:rPr>
            </w:pPr>
            <w:r>
              <w:rPr>
                <w:rFonts w:eastAsia="Times New Roman" w:cs="Times New Roman"/>
                <w:sz w:val="20"/>
                <w:szCs w:val="20"/>
              </w:rPr>
              <w:t>- budynek C – 31.12.2026r.</w:t>
            </w:r>
          </w:p>
        </w:tc>
      </w:tr>
      <w:tr>
        <w:trPr>
          <w:trHeight w:val="325"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rPr>
                <w:rFonts w:ascii="Calibri" w:hAnsi="Calibri"/>
              </w:rPr>
            </w:pPr>
            <w:r>
              <w:rPr>
                <w:rFonts w:eastAsia="Times New Roman" w:cs="Times New Roman"/>
                <w:sz w:val="20"/>
                <w:szCs w:val="20"/>
              </w:rPr>
              <w:t>Opis przedsięwzięcia deweloperskiego albo zadania inwestycyjnego</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Liczba budynków </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 xml:space="preserve">1 budynek </w:t>
            </w:r>
            <w:r>
              <w:rPr>
                <w:rFonts w:eastAsia="Times New Roman" w:cs="Times New Roman"/>
                <w:sz w:val="20"/>
                <w:szCs w:val="20"/>
              </w:rPr>
              <w:t>o oznaczeniu technicznym „C”</w:t>
            </w:r>
            <w:r>
              <w:rPr>
                <w:rFonts w:eastAsia="Times New Roman" w:cs="Times New Roman"/>
                <w:sz w:val="20"/>
                <w:szCs w:val="20"/>
              </w:rPr>
              <w:t>, w którym znajdują się 2 lokale mieszkalne</w:t>
            </w:r>
            <w:r>
              <w:rPr>
                <w:rFonts w:eastAsia="Times New Roman" w:cs="Times New Roman"/>
                <w:sz w:val="20"/>
                <w:szCs w:val="20"/>
              </w:rPr>
              <w:t xml:space="preserve"> </w:t>
            </w:r>
            <w:r>
              <w:rPr>
                <w:rFonts w:eastAsia="Times New Roman" w:cs="Times New Roman"/>
                <w:sz w:val="20"/>
                <w:szCs w:val="20"/>
              </w:rPr>
              <w:t>o oznaczeniach technicznych: „C1” oraz „C2”</w:t>
            </w:r>
          </w:p>
        </w:tc>
      </w:tr>
      <w:tr>
        <w:trPr>
          <w:trHeight w:val="325" w:hRule="atLeast"/>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Rozmieszczenie budynków na nieruchomości (należy podać minimalny odstęp między budynkami)</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48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Sposób pomiaru powierzchni użytkowej lokalu mieszkalnego albo domu jednorodzinnego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Ostateczna wielkość powierzchni użytkowej określona zostanie w drodze pomiaru powykonawczego wykonanego zgodnie z normą ISO 9836:2015.</w:t>
            </w:r>
          </w:p>
        </w:tc>
      </w:tr>
      <w:tr>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Zamierzony sposób i procentowy udział źródeł finansowania przedsięwzięcia deweloperskiego lub zadania inwestycyjnego</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Rodzaj posiadanych środków finansowych – kredyt, środki własne, inne</w:t>
            </w:r>
          </w:p>
        </w:tc>
        <w:tc>
          <w:tcPr>
            <w:tcW w:w="3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Środki własne</w:t>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 następujących instytucjach finansowych (wypełnia się w przypadku kredytu)</w:t>
            </w:r>
          </w:p>
        </w:tc>
        <w:tc>
          <w:tcPr>
            <w:tcW w:w="3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t>
            </w:r>
          </w:p>
        </w:tc>
      </w:tr>
      <w:tr>
        <w:trPr>
          <w:trHeight w:val="1481" w:hRule="atLeast"/>
        </w:trPr>
        <w:tc>
          <w:tcPr>
            <w:tcW w:w="2810" w:type="dxa"/>
            <w:vMerge w:val="restart"/>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Środki ochrony nabywców</w:t>
            </w:r>
          </w:p>
        </w:tc>
        <w:tc>
          <w:tcPr>
            <w:tcW w:w="34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Otwarty mieszkaniowy rachunek powierniczy</w:t>
            </w:r>
          </w:p>
        </w:tc>
        <w:tc>
          <w:tcPr>
            <w:tcW w:w="3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r>
      <w:tr>
        <w:trPr/>
        <w:tc>
          <w:tcPr>
            <w:tcW w:w="2810" w:type="dxa"/>
            <w:vMerge w:val="continue"/>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tc>
        <w:tc>
          <w:tcPr>
            <w:tcW w:w="34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Wysokość stawki procentowej, według której jest obliczana kwota składki na Deweloperski Fundusz Gwarancyjny</w:t>
            </w:r>
            <w:r>
              <w:rPr>
                <w:rStyle w:val="Zakotwiczenieprzypisudolnego"/>
                <w:rFonts w:eastAsia="Times New Roman" w:cs="Times New Roman"/>
                <w:sz w:val="20"/>
                <w:szCs w:val="20"/>
                <w:vertAlign w:val="superscript"/>
              </w:rPr>
              <w:footnoteReference w:customMarkFollows="1" w:id="8"/>
              <w:t>6)</w:t>
            </w:r>
            <w:r>
              <w:rPr>
                <w:rFonts w:eastAsia="Times New Roman" w:cs="Times New Roman"/>
                <w:sz w:val="20"/>
                <w:szCs w:val="20"/>
                <w:vertAlign w:val="superscript"/>
              </w:rPr>
              <w:t>6)6)6)6)6)</w:t>
            </w:r>
            <w:r>
              <w:rPr>
                <w:rFonts w:eastAsia="Times New Roman" w:cs="Times New Roman"/>
                <w:sz w:val="20"/>
                <w:szCs w:val="20"/>
              </w:rPr>
              <w:t xml:space="preserve"> </w:t>
            </w:r>
          </w:p>
        </w:tc>
        <w:tc>
          <w:tcPr>
            <w:tcW w:w="34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0,45%</w:t>
            </w:r>
          </w:p>
        </w:tc>
      </w:tr>
      <w:tr>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Główne zasady funkcjonowania wybranego rodzaju zabezpieczenia środków nabywcy</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Otwarty mieszkaniowy rachunek powierniczy – należący do dewelopera rachunek powierniczy, służący gromadzeniu środków pieniężnych wpłacanych przez nabywcę na cele określone w umowie deweloperskiej albo w jednej z umów, o których mowa w art. 2 ust. 1 pkt 2, 3 lub 5 lub ust. 2 Ustawy o ochronie praw nabywcy lokalu mieszkalnego lub domu jednorodzinnego oraz Deweloperskim Funduszu Gwarancyjnym , z którego wypłata zdeponowanych środków następuje zgodnie z harmonogramem przedsięwzięcia deweloperskiego lub zadania inwestycyjnego, określonym w jednej z tych umów.</w:t>
            </w:r>
          </w:p>
        </w:tc>
      </w:tr>
      <w:tr>
        <w:trPr>
          <w:trHeight w:val="293"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Nazwa instytucji zapewniającej bezpieczeństwo środków nabywcy</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Bank Spółdzielczy Ziemi Szczecińskiej z siedzibą w Pyrzycach</w:t>
            </w:r>
          </w:p>
        </w:tc>
      </w:tr>
      <w:tr>
        <w:trPr>
          <w:trHeight w:val="488"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Harmonogram przedsięwzięcia deweloperskiego lub zadania inwestycyjnego</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Budynek C:</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Etap I (do 31.08.2025r.) – Grunt, roboty przygotowawcze, roboty ziemne, stan zerowy – 25%</w:t>
            </w:r>
          </w:p>
          <w:p>
            <w:pPr>
              <w:pStyle w:val="Normal"/>
              <w:widowControl w:val="false"/>
              <w:suppressAutoHyphens w:val="true"/>
              <w:spacing w:lineRule="auto" w:line="360" w:before="0" w:after="0"/>
              <w:jc w:val="left"/>
              <w:rPr>
                <w:rFonts w:ascii="Calibri" w:hAnsi="Calibri"/>
              </w:rPr>
            </w:pPr>
            <w:r>
              <w:rPr>
                <w:rFonts w:eastAsia="Calibri" w:cs="Calibri" w:cstheme="minorHAnsi"/>
                <w:kern w:val="0"/>
                <w:sz w:val="22"/>
                <w:szCs w:val="22"/>
                <w:lang w:val="pl-PL" w:eastAsia="en-US" w:bidi="ar-SA"/>
              </w:rPr>
              <w:t>Etap II (do 31.12.2025r.) – Ściany nośne, strop monolityczny, schody wewnętrzne, ścianki działowe, kominy, dach – 25%</w:t>
            </w:r>
          </w:p>
          <w:p>
            <w:pPr>
              <w:pStyle w:val="Normal"/>
              <w:widowControl w:val="false"/>
              <w:suppressAutoHyphens w:val="true"/>
              <w:spacing w:lineRule="auto" w:line="360" w:before="0" w:after="0"/>
              <w:jc w:val="left"/>
              <w:rPr>
                <w:rFonts w:ascii="Calibri" w:hAnsi="Calibri"/>
              </w:rPr>
            </w:pPr>
            <w:r>
              <w:rPr>
                <w:rFonts w:eastAsia="Calibri" w:cs="Calibri" w:cstheme="minorHAnsi"/>
                <w:kern w:val="0"/>
                <w:sz w:val="22"/>
                <w:szCs w:val="22"/>
                <w:lang w:val="pl-PL" w:eastAsia="en-US" w:bidi="ar-SA"/>
              </w:rPr>
              <w:t>Etap III (do 30.06.2026r.) – Elewacja, okna, instalacje  – 25%</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Etap IV (do 31.12.2026r.) – Wykończenie do stanu deweloperskiego, kostka brukowa, ogrodzenie – 25%</w:t>
            </w:r>
          </w:p>
          <w:p>
            <w:pPr>
              <w:pStyle w:val="Normal"/>
              <w:widowControl w:val="false"/>
              <w:suppressAutoHyphens w:val="true"/>
              <w:spacing w:lineRule="auto" w:line="240" w:before="0" w:after="0"/>
              <w:jc w:val="left"/>
              <w:rPr>
                <w:rFonts w:ascii="Calibri" w:hAnsi="Calibri" w:cs="Calibri" w:cstheme="minorHAnsi"/>
              </w:rPr>
            </w:pPr>
            <w:r>
              <w:rPr>
                <w:rFonts w:cs="Calibri" w:cstheme="minorHAnsi"/>
              </w:rPr>
            </w:r>
          </w:p>
        </w:tc>
      </w:tr>
      <w:tr>
        <w:trPr>
          <w:trHeight w:val="29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rPr>
                <w:rFonts w:ascii="Calibri" w:hAnsi="Calibri"/>
              </w:rPr>
            </w:pPr>
            <w:r>
              <w:rPr>
                <w:rFonts w:eastAsia="Times New Roman" w:cs="Times New Roman"/>
                <w:sz w:val="20"/>
                <w:szCs w:val="20"/>
              </w:rPr>
              <w:t>Dopuszczenie waloryzacji ceny oraz określenie zasad waloryzacji</w:t>
            </w:r>
          </w:p>
        </w:tc>
        <w:tc>
          <w:tcPr>
            <w:tcW w:w="683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44" w:after="144"/>
              <w:jc w:val="both"/>
              <w:rPr>
                <w:rFonts w:ascii="Calibri" w:hAnsi="Calibri"/>
              </w:rPr>
            </w:pPr>
            <w:r>
              <w:rPr>
                <w:rFonts w:eastAsia="Times New Roman" w:cs="Times New Roman"/>
                <w:sz w:val="20"/>
                <w:szCs w:val="20"/>
              </w:rPr>
              <w:t>Waloryzacja nie jest dopuszczalna</w:t>
            </w:r>
          </w:p>
        </w:tc>
      </w:tr>
      <w:tr>
        <w:trPr/>
        <w:tc>
          <w:tcPr>
            <w:tcW w:w="9648" w:type="dxa"/>
            <w:gridSpan w:val="3"/>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lineRule="auto" w:line="240" w:before="144" w:after="144"/>
              <w:jc w:val="both"/>
              <w:rPr>
                <w:rFonts w:ascii="Calibri" w:hAnsi="Calibri"/>
              </w:rPr>
            </w:pPr>
            <w:r>
              <w:rPr>
                <w:rFonts w:eastAsia="Times New Roman" w:cs="Times New Roman"/>
                <w:b/>
                <w:sz w:val="20"/>
                <w:szCs w:val="20"/>
              </w:rPr>
              <w:t>WARUNKI ODSTĄPIENIA OD UMOWY DEWELOPERSKIEJ LUB UMOWY, O KTÓREJ MOWA W ART. 2 UST. 1 PKT 2, 3 LUB 5 USTAWY Z DNIA …. O OCHRONIE PRAW NABYWCY LOKALU MIESZKALNEGO LUB DOMU JEDNORODZINNEGO ORAZ O DEWELOPERSKIM FUNDUSZU GWARANCYJNYM (Dz. U. …)</w:t>
            </w:r>
          </w:p>
          <w:p>
            <w:pPr>
              <w:pStyle w:val="Normal"/>
              <w:widowControl w:val="false"/>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w:r>
          </w:p>
        </w:tc>
      </w:tr>
      <w:tr>
        <w:trPr>
          <w:trHeight w:val="1512" w:hRule="atLeast"/>
        </w:trPr>
        <w:tc>
          <w:tcPr>
            <w:tcW w:w="2810" w:type="dxa"/>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Należy opisać, na jakich warunkach można odstąpić od umowy deweloperskiej lub jednej z umów, o których mowa w art. 2 ust. 1 pkt 2, 3 lub 5 ustawy z dnia … o ochronie praw nabywcy lokalu mieszkalnego lub domu jednorodzinnego oraz o Deweloperskim Funduszu Gwarancyjnym</w:t>
            </w:r>
          </w:p>
        </w:tc>
        <w:tc>
          <w:tcPr>
            <w:tcW w:w="68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44" w:after="144"/>
              <w:jc w:val="both"/>
              <w:rPr>
                <w:rFonts w:ascii="Calibri" w:hAnsi="Calibri"/>
              </w:rPr>
            </w:pPr>
            <w:r>
              <w:rPr>
                <w:rFonts w:eastAsia="Times New Roman" w:cs="Times New Roman"/>
                <w:sz w:val="20"/>
                <w:szCs w:val="20"/>
              </w:rPr>
              <w:t>Nabywca ma prawo odstąpić od umowy deweloperskiej albo umowy, o której mowa w art. 2 ust. 1 pkt 2, 3 lub 5 Ustawy o ochronie praw nabywcy lokalu mieszkalnego lub domu jednorodzinnego oraz Deweloperskim Funduszu Gwarancyjnym:</w:t>
            </w:r>
          </w:p>
          <w:p>
            <w:pPr>
              <w:pStyle w:val="Normal"/>
              <w:widowControl w:val="false"/>
              <w:spacing w:lineRule="auto" w:line="240" w:before="144" w:after="144"/>
              <w:jc w:val="both"/>
              <w:rPr>
                <w:rFonts w:ascii="Calibri" w:hAnsi="Calibri"/>
              </w:rPr>
            </w:pPr>
            <w:r>
              <w:rPr>
                <w:rFonts w:eastAsia="Times New Roman" w:cs="Times New Roman"/>
                <w:sz w:val="20"/>
                <w:szCs w:val="20"/>
              </w:rPr>
              <w:t>1) jeżeli umowa deweloperska albo umowa, o której mowa w art. 2 ust. 1 pkt 2, 3 lub 5 Ustawy, nie zawiera odpowiednio elementów, o których mowa w art. 35, albo elementów, o których mowa w art. 36 Ustawy;</w:t>
            </w:r>
          </w:p>
          <w:p>
            <w:pPr>
              <w:pStyle w:val="Normal"/>
              <w:widowControl w:val="false"/>
              <w:spacing w:lineRule="auto" w:line="240" w:before="144" w:after="144"/>
              <w:jc w:val="both"/>
              <w:rPr>
                <w:rFonts w:ascii="Calibri" w:hAnsi="Calibri"/>
              </w:rPr>
            </w:pPr>
            <w:r>
              <w:rPr>
                <w:rFonts w:eastAsia="Times New Roman" w:cs="Times New Roman"/>
                <w:sz w:val="20"/>
                <w:szCs w:val="20"/>
              </w:rPr>
              <w:t>2) jeżeli informacje zawarte w umowie deweloperskiej albo umowie, o której mowa w art. 2 ust. 1 pkt 2, 3 lub 5 Ustawy, nie są zgodne z informacjami zawartymi w prospekcie informacyjnym lub jego załącznikach, z wyjątkiem zmian, o których mowa w art. 35 ust. 2 Ustawy;</w:t>
            </w:r>
          </w:p>
          <w:p>
            <w:pPr>
              <w:pStyle w:val="Normal"/>
              <w:widowControl w:val="false"/>
              <w:spacing w:lineRule="auto" w:line="240" w:before="144" w:after="144"/>
              <w:jc w:val="both"/>
              <w:rPr>
                <w:rFonts w:ascii="Calibri" w:hAnsi="Calibri"/>
              </w:rPr>
            </w:pPr>
            <w:r>
              <w:rPr>
                <w:rFonts w:eastAsia="Times New Roman" w:cs="Times New Roman"/>
                <w:sz w:val="20"/>
                <w:szCs w:val="20"/>
              </w:rPr>
              <w:t>3) jeżeli deweloper nie doręczył zgodnie z art. 21 lub art. 22 Ustawy,  prospektu informacyjnego wraz z załącznikami lub informacji o zmianie danych lub informacji zawartych w prospekcie informacyjnym lub jego załącznikach;</w:t>
            </w:r>
          </w:p>
          <w:p>
            <w:pPr>
              <w:pStyle w:val="Normal"/>
              <w:widowControl w:val="false"/>
              <w:spacing w:lineRule="auto" w:line="240" w:before="144" w:after="144"/>
              <w:jc w:val="both"/>
              <w:rPr>
                <w:rFonts w:ascii="Calibri" w:hAnsi="Calibri"/>
              </w:rPr>
            </w:pPr>
            <w:r>
              <w:rPr>
                <w:rFonts w:eastAsia="Times New Roman" w:cs="Times New Roman"/>
                <w:sz w:val="20"/>
                <w:szCs w:val="20"/>
              </w:rPr>
              <w:t>4) jeżeli dane lub informacje zawarte w prospekcie informacyjnym lub jego załącznikach, na podstawie których zawarto umowę deweloperską albo umowę, o której mowa w art. 2 ust. 1 pkt 2, 3 lub 5 Ustawy, są niezgodne ze stanem faktycznym lub prawnym w dniu zawarcia umowy;</w:t>
            </w:r>
          </w:p>
          <w:p>
            <w:pPr>
              <w:pStyle w:val="Normal"/>
              <w:widowControl w:val="false"/>
              <w:spacing w:lineRule="auto" w:line="240" w:before="144" w:after="144"/>
              <w:jc w:val="both"/>
              <w:rPr>
                <w:rFonts w:ascii="Calibri" w:hAnsi="Calibri"/>
              </w:rPr>
            </w:pPr>
            <w:r>
              <w:rPr>
                <w:rFonts w:eastAsia="Times New Roman" w:cs="Times New Roman"/>
                <w:sz w:val="20"/>
                <w:szCs w:val="20"/>
              </w:rPr>
              <w:t>5) jeżeli prospekt informacyjny, na podstawie którego zawarto umowę deweloperską albo umowę, o której mowa w art. 2 ust. 1 pkt 2, 3 lub 5 Ustawy, nie zawiera danych lub informacji określonych we wzorze prospektu informacyjnego;</w:t>
            </w:r>
          </w:p>
          <w:p>
            <w:pPr>
              <w:pStyle w:val="Normal"/>
              <w:widowControl w:val="false"/>
              <w:spacing w:lineRule="auto" w:line="240" w:before="144" w:after="144"/>
              <w:jc w:val="both"/>
              <w:rPr>
                <w:rFonts w:ascii="Calibri" w:hAnsi="Calibri"/>
              </w:rPr>
            </w:pPr>
            <w:r>
              <w:rPr>
                <w:rFonts w:eastAsia="Times New Roman" w:cs="Times New Roman"/>
                <w:sz w:val="20"/>
                <w:szCs w:val="20"/>
              </w:rPr>
              <w:t>6) w przypadku nieprzeniesienia na nabywcę praw wynikających z umowy deweloperskiej albo umowy, o której mowa w art. 2 ust. 1 pkt 2, 3 lub 5 Ustawy, w terminie wynikającym z tych umów;</w:t>
            </w:r>
          </w:p>
          <w:p>
            <w:pPr>
              <w:pStyle w:val="Normal"/>
              <w:widowControl w:val="false"/>
              <w:spacing w:lineRule="auto" w:line="240" w:before="144" w:after="144"/>
              <w:jc w:val="both"/>
              <w:rPr>
                <w:rFonts w:ascii="Calibri" w:hAnsi="Calibri"/>
              </w:rPr>
            </w:pPr>
            <w:r>
              <w:rPr>
                <w:rFonts w:eastAsia="Times New Roman" w:cs="Times New Roman"/>
                <w:sz w:val="20"/>
                <w:szCs w:val="20"/>
              </w:rPr>
              <w:t>7) w przypadku gdy deweloper nie zawrze umowy mieszkaniowego rachunku powierniczego z innym bankiem w trybie i terminie, o których mowa w art. 10 ust. 1 Ustawy;</w:t>
            </w:r>
          </w:p>
          <w:p>
            <w:pPr>
              <w:pStyle w:val="Normal"/>
              <w:widowControl w:val="false"/>
              <w:spacing w:lineRule="auto" w:line="240" w:before="144" w:after="144"/>
              <w:jc w:val="both"/>
              <w:rPr>
                <w:rFonts w:ascii="Calibri" w:hAnsi="Calibri"/>
              </w:rPr>
            </w:pPr>
            <w:r>
              <w:rPr>
                <w:rFonts w:eastAsia="Times New Roman" w:cs="Times New Roman"/>
                <w:sz w:val="20"/>
                <w:szCs w:val="20"/>
              </w:rPr>
              <w:t>8) w przypadku gdy deweloper nie posiada zgody wierzyciela hipotecznego lub zobowiązania do jej udzielenia, o których mowa w art. 25 ust. 1 pkt 1 lub 2 Ustawy;</w:t>
            </w:r>
          </w:p>
          <w:p>
            <w:pPr>
              <w:pStyle w:val="Normal"/>
              <w:widowControl w:val="false"/>
              <w:spacing w:lineRule="auto" w:line="240" w:before="144" w:after="144"/>
              <w:jc w:val="both"/>
              <w:rPr>
                <w:rFonts w:ascii="Calibri" w:hAnsi="Calibri"/>
              </w:rPr>
            </w:pPr>
            <w:r>
              <w:rPr>
                <w:rFonts w:eastAsia="Times New Roman" w:cs="Times New Roman"/>
                <w:sz w:val="20"/>
                <w:szCs w:val="20"/>
              </w:rPr>
              <w:t>9) w przypadku niewykonania przez dewelopera obowiązku, o którym mowa w art. 12 ust. 2 Ustawy, w terminie określonym w tym przepisie;</w:t>
            </w:r>
          </w:p>
          <w:p>
            <w:pPr>
              <w:pStyle w:val="Normal"/>
              <w:widowControl w:val="false"/>
              <w:spacing w:lineRule="auto" w:line="240" w:before="144" w:after="144"/>
              <w:jc w:val="both"/>
              <w:rPr>
                <w:rFonts w:ascii="Calibri" w:hAnsi="Calibri"/>
              </w:rPr>
            </w:pPr>
            <w:r>
              <w:rPr>
                <w:rFonts w:eastAsia="Times New Roman" w:cs="Times New Roman"/>
                <w:sz w:val="20"/>
                <w:szCs w:val="20"/>
              </w:rPr>
              <w:t>10) w przypadku nieusunięcia przez dewelopera wady istotnej lokalu mieszkalnego albo domu jednorodzinnego na zasadach określonych w art. 41 ust. 11 Ustawy;</w:t>
            </w:r>
          </w:p>
          <w:p>
            <w:pPr>
              <w:pStyle w:val="Normal"/>
              <w:widowControl w:val="false"/>
              <w:spacing w:lineRule="auto" w:line="240" w:before="144" w:after="144"/>
              <w:jc w:val="both"/>
              <w:rPr>
                <w:rFonts w:ascii="Calibri" w:hAnsi="Calibri"/>
              </w:rPr>
            </w:pPr>
            <w:r>
              <w:rPr>
                <w:rFonts w:eastAsia="Times New Roman" w:cs="Times New Roman"/>
                <w:sz w:val="20"/>
                <w:szCs w:val="20"/>
              </w:rPr>
              <w:t>11) w przypadku stwierdzenia przez rzeczoznawcę istnienia wady istotnej, o którym mowa w art. 41 ust. 15 Ustawy;</w:t>
            </w:r>
          </w:p>
          <w:p>
            <w:pPr>
              <w:pStyle w:val="Normal"/>
              <w:widowControl w:val="false"/>
              <w:spacing w:lineRule="auto" w:line="240" w:before="144" w:after="144"/>
              <w:jc w:val="both"/>
              <w:rPr>
                <w:rFonts w:ascii="Calibri" w:hAnsi="Calibri"/>
              </w:rPr>
            </w:pPr>
            <w:r>
              <w:rPr>
                <w:rFonts w:eastAsia="Times New Roman" w:cs="Times New Roman"/>
                <w:sz w:val="20"/>
                <w:szCs w:val="20"/>
              </w:rPr>
              <w:t>12) jeżeli syndyk zażądał wykonania umowy na podstawie art. 98 ustawy z dnia 28 lutego 2003 r. – Prawo upadłościowe.</w:t>
            </w:r>
          </w:p>
        </w:tc>
      </w:tr>
      <w:tr>
        <w:trPr>
          <w:trHeight w:val="510" w:hRule="atLeast"/>
        </w:trPr>
        <w:tc>
          <w:tcPr>
            <w:tcW w:w="9648"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uto" w:line="240" w:before="144" w:after="144"/>
              <w:jc w:val="both"/>
              <w:rPr>
                <w:rFonts w:ascii="Calibri" w:hAnsi="Calibri"/>
              </w:rPr>
            </w:pPr>
            <w:r>
              <w:rPr>
                <w:rFonts w:eastAsia="Times New Roman" w:cs="Times New Roman"/>
                <w:b/>
                <w:sz w:val="20"/>
                <w:szCs w:val="20"/>
              </w:rPr>
              <w:t xml:space="preserve">INNE INFORMACJE </w:t>
            </w:r>
          </w:p>
        </w:tc>
      </w:tr>
      <w:tr>
        <w:trPr>
          <w:trHeight w:val="1512" w:hRule="atLeast"/>
        </w:trPr>
        <w:tc>
          <w:tcPr>
            <w:tcW w:w="9648" w:type="dxa"/>
            <w:gridSpan w:val="3"/>
            <w:tcBorders>
              <w:top w:val="single" w:sz="4" w:space="0" w:color="000000"/>
              <w:left w:val="single" w:sz="4" w:space="0" w:color="000000"/>
              <w:right w:val="single" w:sz="4" w:space="0" w:color="000000"/>
            </w:tcBorders>
            <w:shd w:color="auto" w:fill="F3F3F3" w:val="clear"/>
          </w:tcPr>
          <w:p>
            <w:pPr>
              <w:pStyle w:val="Normal"/>
              <w:widowControl w:val="false"/>
              <w:spacing w:lineRule="auto" w:line="240" w:before="144" w:after="144"/>
              <w:jc w:val="both"/>
              <w:rPr>
                <w:rFonts w:ascii="Calibri" w:hAnsi="Calibri"/>
              </w:rPr>
            </w:pPr>
            <w:r>
              <w:rPr>
                <w:rFonts w:eastAsia="Times New Roman" w:cs="Times New Roman"/>
                <w:sz w:val="20"/>
                <w:szCs w:val="20"/>
              </w:rPr>
              <w:t>I. Informacja o:</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1)</w:t>
              <w:tab/>
              <w:t xml:space="preserve">zgodzie </w:t>
            </w:r>
            <w:r>
              <w:rPr>
                <w:rFonts w:eastAsia="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lang w:eastAsia="pl-PL"/>
              </w:rPr>
              <w:t>2)</w:t>
              <w:tab/>
            </w:r>
            <w:r>
              <w:rPr>
                <w:rFonts w:eastAsia="Times New Roman" w:cs="Times New Roman"/>
                <w:sz w:val="20"/>
                <w:szCs w:val="20"/>
              </w:rPr>
              <w:t xml:space="preserve">w przypadku umów, o których mowa w art. 2 ust. 2 ustawy z dnia … o ochronie praw nabywcy lokalu mieszkalnego lub domu jednorodzinnego oraz o Deweloperskim Funduszu Gwarancyjnym, o </w:t>
            </w:r>
            <w:r>
              <w:rPr>
                <w:rFonts w:eastAsia="Times New Roman" w:cs="Times New Roman"/>
                <w:sz w:val="20"/>
                <w:szCs w:val="20"/>
                <w:lang w:eastAsia="pl-PL"/>
              </w:rPr>
              <w:t>zgodzie banku lub innego wierzyciela hipotecznego na bezobciążeniowe przeniesienie własności lokalu użytkowego na nabywcę po wpłacie pełnej ceny przez nabywcę lub zobowiązanie do udzielenia takiej zgody, jeżeli takie obciążenie istnieje, albo zgodzie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trPr>
          <w:trHeight w:val="1512" w:hRule="atLeast"/>
        </w:trPr>
        <w:tc>
          <w:tcPr>
            <w:tcW w:w="9648" w:type="dxa"/>
            <w:gridSpan w:val="3"/>
            <w:tcBorders>
              <w:left w:val="single" w:sz="4" w:space="0" w:color="000000"/>
              <w:right w:val="single" w:sz="4" w:space="0" w:color="000000"/>
            </w:tcBorders>
            <w:shd w:color="auto" w:fill="FFFFFF" w:val="clear"/>
          </w:tcPr>
          <w:p>
            <w:pPr>
              <w:pStyle w:val="Normal"/>
              <w:widowControl w:val="false"/>
              <w:spacing w:lineRule="auto" w:line="240" w:before="144" w:after="144"/>
              <w:jc w:val="both"/>
              <w:rPr>
                <w:rFonts w:ascii="Calibri" w:hAnsi="Calibri"/>
              </w:rPr>
            </w:pPr>
            <w:r>
              <w:rPr>
                <w:rFonts w:eastAsia="Times New Roman" w:cs="Times New Roman"/>
                <w:sz w:val="20"/>
                <w:szCs w:val="20"/>
              </w:rPr>
              <w:t>II. Informacja o możliwości zapoznania się w lokalu przedsiębiorstwa przez osobę zainteresowaną zawarciem umowy odpowiednio do zakresu umowy z:</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aktualnym stanem księgi wieczystej;</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lub wydrukiem ze strony internetowej tej ewidencji;</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kopią decyzji o pozwoleniu na budowę;</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sprawozdaniem finansowym dewelopera za ostatnie dwa lata, a w przypadku realizacji inwestycji przez spółkę celową – sprawozdaniem spółki dominującej oraz spółki celowej;</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projektem budowlanym;</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kopią decyzji o pozwoleniu na użytkowanie budynku;</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zaświadczeniem o samodzielności lokalu;</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aktem ustanowienia odrębnej własności lokalu;</w:t>
            </w:r>
          </w:p>
          <w:p>
            <w:pPr>
              <w:pStyle w:val="Normal"/>
              <w:widowControl w:val="false"/>
              <w:numPr>
                <w:ilvl w:val="0"/>
                <w:numId w:val="3"/>
              </w:numPr>
              <w:spacing w:lineRule="auto" w:line="240" w:before="144" w:after="144"/>
              <w:ind w:left="738" w:hanging="378"/>
              <w:contextualSpacing/>
              <w:jc w:val="both"/>
              <w:rPr>
                <w:rFonts w:ascii="Calibri" w:hAnsi="Calibri"/>
              </w:rPr>
            </w:pPr>
            <w:r>
              <w:rPr>
                <w:rFonts w:eastAsia="Times New Roman" w:cs="Times New Roman"/>
                <w:sz w:val="20"/>
                <w:szCs w:val="20"/>
              </w:rPr>
              <w:t>dokumentem potwierdzającym:</w:t>
            </w:r>
          </w:p>
          <w:p>
            <w:pPr>
              <w:pStyle w:val="Normal"/>
              <w:widowControl w:val="false"/>
              <w:numPr>
                <w:ilvl w:val="0"/>
                <w:numId w:val="4"/>
              </w:numPr>
              <w:spacing w:lineRule="auto" w:line="240" w:before="144" w:after="144"/>
              <w:ind w:left="1163" w:hanging="425"/>
              <w:contextualSpacing/>
              <w:jc w:val="both"/>
              <w:rPr>
                <w:rFonts w:ascii="Calibri" w:hAnsi="Calibri"/>
              </w:rPr>
            </w:pPr>
            <w:r>
              <w:rPr>
                <w:rFonts w:eastAsia="Times New Roman" w:cs="Times New Roman"/>
                <w:sz w:val="20"/>
                <w:szCs w:val="20"/>
              </w:rPr>
              <w:t xml:space="preserve">zgodę </w:t>
            </w:r>
            <w:r>
              <w:rPr>
                <w:rFonts w:eastAsia="Times New Roman" w:cs="Times New Roman"/>
                <w:sz w:val="20"/>
                <w:szCs w:val="20"/>
                <w:lang w:eastAsia="pl-PL"/>
              </w:rPr>
              <w:t xml:space="preserve">banku lub innego wierzyciela hipotecznego na bezobciążeniowe ustanowienie odrębnej własności lokalu mieszkalnego i przeniesienie jego własności na nabywcę po wpłacie pełnej ceny przez nabywcę lub zobowiązaniem do jej udzielenia, jeżeli takie obciążenie istnieje, albo zgodą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zobowiązaniem do jej udzielenia, jeżeli takie obciążenie istnieje, </w:t>
            </w:r>
          </w:p>
          <w:p>
            <w:pPr>
              <w:pStyle w:val="Normal"/>
              <w:widowControl w:val="false"/>
              <w:numPr>
                <w:ilvl w:val="0"/>
                <w:numId w:val="4"/>
              </w:numPr>
              <w:spacing w:lineRule="auto" w:line="240" w:before="144" w:after="144"/>
              <w:ind w:left="1163" w:hanging="425"/>
              <w:contextualSpacing/>
              <w:jc w:val="both"/>
              <w:rPr>
                <w:rFonts w:ascii="Calibri" w:hAnsi="Calibri"/>
              </w:rPr>
            </w:pPr>
            <w:r>
              <w:rPr>
                <w:rFonts w:eastAsia="Times New Roman" w:cs="Times New Roman"/>
                <w:sz w:val="20"/>
                <w:szCs w:val="20"/>
              </w:rPr>
              <w:t xml:space="preserve">w przypadku umów, o których mowa w art. 2 ust. 2 z dnia … o ochronie praw nabywcy lokalu mieszkalnego lub domu jednorodzinnego oraz o Deweloperskim Funduszu Gwarancyjnym, </w:t>
            </w:r>
            <w:r>
              <w:rPr>
                <w:rFonts w:eastAsia="Times New Roman" w:cs="Times New Roman"/>
                <w:sz w:val="20"/>
                <w:szCs w:val="20"/>
                <w:lang w:eastAsia="pl-PL"/>
              </w:rPr>
              <w:t>zgodą banku lub innego wierzyciela hipotecznego na bezobciążeniowe przeniesienie własności lokalu użytkowego na nabywcę po wpłacie pełnej ceny przez nabywcę lub zobowiązaniem do udzielenia takiej zgody, jeżeli takie obciążenie istnieje, albo zgodą banku lub innego wierzyciela hipotecznego na bezobciążeniowe przeniesienie na nabywcę ułamkowej części własności lokalu użytkowego po wpłacie pełnej ceny przez nabywcę lub zobowiązaniem do udzielenia takiej zgody, jeżeli takie obciążenie istnieje.</w:t>
            </w:r>
          </w:p>
        </w:tc>
      </w:tr>
      <w:tr>
        <w:trPr>
          <w:trHeight w:val="1512" w:hRule="atLeast"/>
        </w:trPr>
        <w:tc>
          <w:tcPr>
            <w:tcW w:w="9648" w:type="dxa"/>
            <w:gridSpan w:val="3"/>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144" w:after="144"/>
              <w:jc w:val="both"/>
              <w:rPr>
                <w:rFonts w:ascii="Calibri" w:hAnsi="Calibri"/>
              </w:rPr>
            </w:pPr>
            <w:r>
              <w:rPr>
                <w:rFonts w:eastAsia="Times New Roman" w:cs="Times New Roman"/>
                <w:sz w:val="20"/>
                <w:szCs w:val="20"/>
              </w:rPr>
              <w:t>III. Informacja:</w:t>
            </w:r>
          </w:p>
          <w:p>
            <w:pPr>
              <w:pStyle w:val="Normal"/>
              <w:widowControl w:val="false"/>
              <w:spacing w:lineRule="auto" w:line="240" w:before="144" w:after="144"/>
              <w:jc w:val="both"/>
              <w:rPr>
                <w:rFonts w:ascii="Calibri" w:hAnsi="Calibri"/>
              </w:rPr>
            </w:pPr>
            <w:r>
              <w:rPr>
                <w:rFonts w:eastAsia="Times New Roman" w:cs="Times New Roman"/>
                <w:sz w:val="20"/>
                <w:szCs w:val="20"/>
              </w:rPr>
              <w:t xml:space="preserve">Środki pieniężne zgromadzone w </w:t>
            </w:r>
            <w:r>
              <w:rPr>
                <w:rFonts w:eastAsia="Times New Roman" w:cs="Calibri" w:cstheme="minorHAnsi"/>
                <w:sz w:val="20"/>
                <w:szCs w:val="20"/>
                <w:lang w:eastAsia="pl-PL"/>
              </w:rPr>
              <w:t>Banku Spółdzielczym Ziemi Szczecińskiej z siedzibą w Pyrzycach,</w:t>
            </w:r>
            <w:r>
              <w:rPr>
                <w:rFonts w:eastAsia="Times New Roman" w:cs="Times New Roman"/>
                <w:sz w:val="20"/>
                <w:szCs w:val="20"/>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w:t>
            </w:r>
          </w:p>
          <w:p>
            <w:pPr>
              <w:pStyle w:val="Normal"/>
              <w:widowControl w:val="false"/>
              <w:spacing w:lineRule="auto" w:line="240" w:before="144" w:after="144"/>
              <w:jc w:val="both"/>
              <w:rPr>
                <w:rFonts w:ascii="Calibri" w:hAnsi="Calibri" w:eastAsia="Times New Roman" w:cs="Times New Roman"/>
                <w:sz w:val="20"/>
                <w:szCs w:val="20"/>
              </w:rPr>
            </w:pPr>
            <w:r>
              <w:rPr>
                <w:rFonts w:eastAsia="Times New Roman" w:cs="Times New Roman"/>
                <w:sz w:val="20"/>
                <w:szCs w:val="20"/>
              </w:rPr>
            </w:r>
          </w:p>
          <w:p>
            <w:pPr>
              <w:pStyle w:val="Normal"/>
              <w:widowControl w:val="false"/>
              <w:spacing w:lineRule="auto" w:line="240" w:before="144" w:after="144"/>
              <w:jc w:val="both"/>
              <w:rPr>
                <w:rFonts w:ascii="Calibri" w:hAnsi="Calibri"/>
              </w:rPr>
            </w:pPr>
            <w:r>
              <w:rPr>
                <w:rFonts w:eastAsia="Times New Roman" w:cs="Times New Roman"/>
                <w:sz w:val="20"/>
                <w:szCs w:val="20"/>
              </w:rPr>
              <w:t>Informacje podstawowe o obowiązkowym systemie gwarantowania depozytów:</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 xml:space="preserve">ochrona środków dotyczy sytuacji spełnienia warunku gwarancji wobec </w:t>
            </w:r>
            <w:r>
              <w:rPr>
                <w:rFonts w:eastAsia="Times New Roman" w:cs="Calibri" w:cstheme="minorHAnsi"/>
                <w:color w:val="auto"/>
                <w:sz w:val="22"/>
                <w:szCs w:val="22"/>
              </w:rPr>
              <w:t>Banku Spółdzielczego Ziemi Szczecińskiej z siedzibą w Pyrzycach,</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wypłata środków gwarantowanych – co do zasady – następuje w terminie 7 dni roboczych od dnia spełnienia warunku gwarancji wobec banku,</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t>wypłata środków gwarantowanych jest dokonywana w złotych,</w:t>
            </w:r>
          </w:p>
          <w:p>
            <w:pPr>
              <w:pStyle w:val="Normal"/>
              <w:widowControl w:val="false"/>
              <w:spacing w:lineRule="auto" w:line="240" w:before="144" w:after="144"/>
              <w:ind w:left="313" w:hanging="313"/>
              <w:jc w:val="both"/>
              <w:rPr>
                <w:rFonts w:ascii="Calibri" w:hAnsi="Calibri"/>
              </w:rPr>
            </w:pPr>
            <w:r>
              <w:rPr>
                <w:rFonts w:eastAsia="Times New Roman" w:cs="Times New Roman"/>
                <w:sz w:val="20"/>
                <w:szCs w:val="20"/>
              </w:rPr>
              <w:t>–</w:t>
            </w:r>
            <w:r>
              <w:rPr>
                <w:rFonts w:eastAsia="Times New Roman" w:cs="Times New Roman"/>
                <w:sz w:val="20"/>
                <w:szCs w:val="20"/>
              </w:rPr>
              <w:tab/>
            </w:r>
            <w:r>
              <w:rPr>
                <w:rFonts w:eastAsia="Times New Roman" w:cs="Calibri" w:cstheme="minorHAnsi"/>
                <w:color w:val="auto"/>
                <w:sz w:val="22"/>
                <w:szCs w:val="22"/>
              </w:rPr>
              <w:t>Bank Spółdzielczy Ziemi Szczecińskiej z siedzibą w Pyrzycach</w:t>
            </w:r>
            <w:r>
              <w:rPr>
                <w:rFonts w:eastAsia="Times New Roman" w:cs="Times New Roman"/>
                <w:sz w:val="20"/>
                <w:szCs w:val="20"/>
              </w:rPr>
              <w:t xml:space="preserve"> korzysta także z następujących znaków towarowych: …………</w:t>
            </w:r>
          </w:p>
          <w:p>
            <w:pPr>
              <w:pStyle w:val="Normal"/>
              <w:widowControl w:val="false"/>
              <w:spacing w:lineRule="auto" w:line="240" w:before="144" w:after="144"/>
              <w:jc w:val="both"/>
              <w:rPr>
                <w:rFonts w:ascii="Calibri" w:hAnsi="Calibri"/>
              </w:rPr>
            </w:pPr>
            <w:r>
              <w:rPr>
                <w:rFonts w:eastAsia="Times New Roman" w:cs="Times New Roman"/>
                <w:sz w:val="20"/>
                <w:szCs w:val="20"/>
              </w:rPr>
              <w:t>Dalsze informacje na temat systemu gwarantowania depozytów można uzyskać na stronie internetowej Bankowego Funduszu Gwarancyjnego: https://www.bfg.pl/.</w:t>
            </w:r>
          </w:p>
          <w:p>
            <w:pPr>
              <w:pStyle w:val="Normal"/>
              <w:widowControl w:val="false"/>
              <w:numPr>
                <w:ilvl w:val="0"/>
                <w:numId w:val="2"/>
              </w:numPr>
              <w:tabs>
                <w:tab w:val="clear" w:pos="708"/>
                <w:tab w:val="left" w:pos="314" w:leader="none"/>
                <w:tab w:val="left" w:pos="728" w:leader="none"/>
              </w:tabs>
              <w:spacing w:lineRule="auto" w:line="240" w:before="144" w:after="144"/>
              <w:ind w:left="30" w:hanging="720"/>
              <w:contextualSpacing/>
              <w:jc w:val="both"/>
              <w:rPr>
                <w:rFonts w:ascii="Calibri" w:hAnsi="Calibri"/>
              </w:rPr>
            </w:pPr>
            <w:r>
              <w:rPr>
                <w:rFonts w:eastAsia="Times New Roman" w:cs="Times New Roman"/>
                <w:sz w:val="20"/>
                <w:szCs w:val="20"/>
              </w:rPr>
              <w:t xml:space="preserve">Informacja zamieszczana w przypadku </w:t>
            </w:r>
            <w:r>
              <w:rPr>
                <w:rFonts w:eastAsia="Times New Roman" w:cs="Times New Roman"/>
                <w:bCs/>
                <w:sz w:val="20"/>
                <w:szCs w:val="20"/>
              </w:rPr>
              <w:t>zawarcia umowy mieszkaniowego rachunku powierniczego z oddziałem instytucji kredytowej, o której mowa w art. 4 ust. 1 pkt 18 ustawy z dnia 29 sierpnia 1997 r. – Prawo bankowe (Dz. U. z 2020 r. poz. 1896, 2320 i 2419).</w:t>
            </w:r>
          </w:p>
          <w:p>
            <w:pPr>
              <w:pStyle w:val="Normal"/>
              <w:widowControl w:val="false"/>
              <w:spacing w:lineRule="auto" w:line="240" w:before="144" w:after="144"/>
              <w:jc w:val="both"/>
              <w:rPr>
                <w:rFonts w:ascii="Calibri" w:hAnsi="Calibri"/>
              </w:rPr>
            </w:pPr>
            <w:r>
              <w:rPr>
                <w:rFonts w:eastAsia="Times New Roman" w:cs="Times New Roman"/>
                <w:bCs/>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pPr>
        <w:pStyle w:val="Normal"/>
        <w:spacing w:lineRule="auto" w:line="240" w:before="144" w:after="144"/>
        <w:jc w:val="right"/>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right"/>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right"/>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both"/>
        <w:rPr>
          <w:rFonts w:ascii="Calibri" w:hAnsi="Calibri"/>
        </w:rPr>
      </w:pPr>
      <w:r>
        <w:rPr>
          <w:rFonts w:eastAsia="Times New Roman" w:cs="Times New Roman"/>
          <w:b/>
          <w:sz w:val="20"/>
          <w:szCs w:val="20"/>
        </w:rPr>
        <w:t>CZĘŚĆ INDYWIDUALNA</w:t>
      </w:r>
    </w:p>
    <w:p>
      <w:pPr>
        <w:pStyle w:val="Normal"/>
        <w:spacing w:lineRule="auto" w:line="240" w:before="144" w:after="144"/>
        <w:rPr>
          <w:rFonts w:ascii="Calibri" w:hAnsi="Calibri" w:eastAsia="Times New Roman" w:cs="Times New Roman"/>
          <w:b/>
          <w:sz w:val="20"/>
          <w:szCs w:val="20"/>
        </w:rPr>
      </w:pPr>
      <w:r>
        <w:rPr>
          <w:rFonts w:eastAsia="Times New Roman" w:cs="Times New Roman"/>
          <w:b/>
          <w:sz w:val="20"/>
          <w:szCs w:val="20"/>
        </w:rPr>
      </w:r>
    </w:p>
    <w:tbl>
      <w:tblPr>
        <w:tblStyle w:val="Tabela-Siatka111"/>
        <w:tblW w:w="90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1"/>
        <w:gridCol w:w="2047"/>
        <w:gridCol w:w="3926"/>
      </w:tblGrid>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Cena lokalu mieszkalnego albo domu jednorodzinnego</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680944,55</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Powierzchnia użytkowa lokalu mieszkalnego albo domu jednorodzinnego</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85,15 m²</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Cena m</w:t>
            </w:r>
            <w:r>
              <w:rPr>
                <w:rFonts w:eastAsia="Times New Roman" w:cs="Times New Roman"/>
                <w:kern w:val="0"/>
                <w:sz w:val="20"/>
                <w:szCs w:val="20"/>
                <w:vertAlign w:val="superscript"/>
                <w:lang w:val="pl-PL" w:eastAsia="pl-PL" w:bidi="ar-SA"/>
              </w:rPr>
              <w:t>2</w:t>
            </w:r>
            <w:r>
              <w:rPr>
                <w:rFonts w:eastAsia="Times New Roman" w:cs="Times New Roman"/>
                <w:kern w:val="0"/>
                <w:sz w:val="20"/>
                <w:szCs w:val="20"/>
                <w:lang w:val="pl-PL" w:eastAsia="pl-PL" w:bidi="ar-SA"/>
              </w:rPr>
              <w:t xml:space="preserve"> powierzchni użytkowej lokalu mieszkalnego albo domu jednorodzinnego</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7997,00 zł</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Budynek C: 31.03.2027r.</w:t>
            </w:r>
          </w:p>
          <w:p>
            <w:pPr>
              <w:pStyle w:val="Normal"/>
              <w:widowControl w:val="false"/>
              <w:suppressAutoHyphens w:val="true"/>
              <w:spacing w:lineRule="auto" w:line="240" w:before="144" w:after="144"/>
              <w:jc w:val="left"/>
              <w:rPr>
                <w:rFonts w:ascii="Calibri" w:hAnsi="Calibri"/>
              </w:rPr>
            </w:pPr>
            <w:r>
              <w:rPr/>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Określenie położenia oraz istotnych cech domu jednorodzinnego albo budynku, w którym ma znajdować się lokal mieszkalny będący przedmiotem umowy rezerwacyjnej albo umowy deweloperskiej, albo umowy, o której mowa w art. 2 ust. 1 pkt 2, 3 lub 5 lub umów, o których mowa w art. 2 ust. 2 ustawy z dnia … o ochronie praw nabywcy lokalu mieszkalnego lub domu jednorodzinnego oraz o Deweloperskim Funduszu Gwarancyjnym</w:t>
            </w:r>
          </w:p>
        </w:tc>
        <w:tc>
          <w:tcPr>
            <w:tcW w:w="2047" w:type="dxa"/>
            <w:vMerge w:val="restart"/>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Liczba kondygnacji</w:t>
            </w:r>
          </w:p>
        </w:tc>
        <w:tc>
          <w:tcPr>
            <w:tcW w:w="3926" w:type="dxa"/>
            <w:vMerge w:val="restart"/>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2 – parter i poddasze użytkowe</w:t>
            </w:r>
          </w:p>
        </w:tc>
      </w:tr>
      <w:tr>
        <w:trPr>
          <w:trHeight w:val="56" w:hRule="atLeast"/>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vMerge w:val="continue"/>
            <w:tcBorders/>
          </w:tcPr>
          <w:p>
            <w:pPr>
              <w:pStyle w:val="Normal"/>
              <w:widowControl w:val="false"/>
              <w:suppressAutoHyphens w:val="true"/>
              <w:spacing w:lineRule="auto" w:line="240" w:before="144" w:after="144"/>
              <w:jc w:val="left"/>
              <w:rPr>
                <w:rFonts w:ascii="Calibri" w:hAnsi="Calibri" w:eastAsia="Times New Roman" w:cs="Times New Roman"/>
                <w:kern w:val="0"/>
                <w:sz w:val="20"/>
                <w:szCs w:val="20"/>
                <w:lang w:val="pl-PL" w:eastAsia="pl-PL" w:bidi="ar-SA"/>
              </w:rPr>
            </w:pPr>
            <w:r>
              <w:rPr>
                <w:rFonts w:eastAsia="Times New Roman" w:cs="Times New Roman"/>
                <w:kern w:val="0"/>
                <w:sz w:val="20"/>
                <w:szCs w:val="20"/>
                <w:lang w:val="pl-PL" w:eastAsia="pl-PL" w:bidi="ar-SA"/>
              </w:rPr>
            </w:r>
          </w:p>
        </w:tc>
        <w:tc>
          <w:tcPr>
            <w:tcW w:w="3926" w:type="dxa"/>
            <w:vMerge w:val="continue"/>
            <w:tcBorders/>
          </w:tcPr>
          <w:p>
            <w:pPr>
              <w:pStyle w:val="Normal"/>
              <w:widowControl w:val="false"/>
              <w:suppressAutoHyphens w:val="true"/>
              <w:spacing w:lineRule="auto" w:line="240" w:before="144" w:after="144"/>
              <w:jc w:val="left"/>
              <w:rPr>
                <w:rFonts w:ascii="Calibri" w:hAnsi="Calibri"/>
                <w:b/>
              </w:rPr>
            </w:pPr>
            <w:r>
              <w:rPr>
                <w:b/>
              </w:rPr>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 xml:space="preserve">Technologia wykonania </w:t>
            </w:r>
          </w:p>
        </w:tc>
        <w:tc>
          <w:tcPr>
            <w:tcW w:w="3926" w:type="dxa"/>
            <w:tcBorders/>
          </w:tcPr>
          <w:p>
            <w:pPr>
              <w:pStyle w:val="Normal"/>
              <w:widowControl w:val="false"/>
              <w:suppressAutoHyphens w:val="true"/>
              <w:spacing w:lineRule="auto" w:line="240" w:before="0" w:after="0"/>
              <w:jc w:val="left"/>
              <w:rPr>
                <w:rFonts w:ascii="Calibri" w:hAnsi="Calibri"/>
              </w:rPr>
            </w:pPr>
            <w:r>
              <w:rPr>
                <w:rFonts w:eastAsia="Calibri" w:cs="Calibri" w:cstheme="minorHAnsi"/>
                <w:sz w:val="22"/>
                <w:szCs w:val="22"/>
                <w:lang w:eastAsia="en-US"/>
              </w:rPr>
              <w:t>Tradycyjna murowana</w:t>
            </w:r>
          </w:p>
        </w:tc>
      </w:tr>
      <w:tr>
        <w:trPr/>
        <w:tc>
          <w:tcPr>
            <w:tcW w:w="3071" w:type="dxa"/>
            <w:tcBorders>
              <w:bottom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Standard prac wykończeniowych w części wspólnej budynku i terenie wokół niego, stanowiącym część wspólną nieruchomości</w:t>
            </w:r>
          </w:p>
        </w:tc>
        <w:tc>
          <w:tcPr>
            <w:tcW w:w="3926" w:type="dxa"/>
            <w:tcBorders/>
          </w:tcPr>
          <w:p>
            <w:pPr>
              <w:pStyle w:val="Normal"/>
              <w:widowControl w:val="false"/>
              <w:suppressAutoHyphens w:val="true"/>
              <w:spacing w:lineRule="auto" w:line="240" w:before="0" w:after="0"/>
              <w:jc w:val="left"/>
              <w:rPr>
                <w:rFonts w:ascii="Calibri" w:hAnsi="Calibri" w:cs="Calibri" w:cstheme="minorHAnsi"/>
              </w:rPr>
            </w:pPr>
            <w:r>
              <w:rPr>
                <w:rFonts w:cs="Calibri" w:cstheme="minorHAnsi"/>
              </w:rPr>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I Budynek:</w:t>
            </w:r>
          </w:p>
          <w:p>
            <w:pPr>
              <w:pStyle w:val="ListParagraph"/>
              <w:widowControl w:val="false"/>
              <w:numPr>
                <w:ilvl w:val="0"/>
                <w:numId w:val="7"/>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Fundamenty:</w:t>
            </w:r>
          </w:p>
          <w:p>
            <w:pPr>
              <w:pStyle w:val="ListParagraph"/>
              <w:widowControl w:val="false"/>
              <w:numPr>
                <w:ilvl w:val="0"/>
                <w:numId w:val="8"/>
              </w:numPr>
              <w:suppressAutoHyphens w:val="true"/>
              <w:spacing w:lineRule="auto" w:line="240" w:before="0" w:after="0"/>
              <w:ind w:left="813" w:hanging="360"/>
              <w:contextualSpacing/>
              <w:jc w:val="left"/>
              <w:rPr>
                <w:rFonts w:ascii="Calibri" w:hAnsi="Calibri"/>
              </w:rPr>
            </w:pPr>
            <w:r>
              <w:rPr>
                <w:rFonts w:eastAsia="Calibri" w:cs="Calibri" w:ascii="Calibri" w:hAnsi="Calibri" w:cstheme="minorHAnsi"/>
                <w:kern w:val="0"/>
                <w:sz w:val="22"/>
                <w:szCs w:val="22"/>
                <w:lang w:val="pl-PL" w:eastAsia="en-US" w:bidi="ar-SA"/>
              </w:rPr>
              <w:t>Ławy fundamentowe żelbetowe</w:t>
            </w:r>
          </w:p>
          <w:p>
            <w:pPr>
              <w:pStyle w:val="ListParagraph"/>
              <w:widowControl w:val="false"/>
              <w:numPr>
                <w:ilvl w:val="0"/>
                <w:numId w:val="8"/>
              </w:numPr>
              <w:suppressAutoHyphens w:val="true"/>
              <w:spacing w:lineRule="auto" w:line="240" w:before="0" w:after="0"/>
              <w:ind w:left="813" w:hanging="360"/>
              <w:contextualSpacing/>
              <w:jc w:val="left"/>
              <w:rPr>
                <w:rFonts w:ascii="Calibri" w:hAnsi="Calibri"/>
              </w:rPr>
            </w:pPr>
            <w:r>
              <w:rPr>
                <w:rFonts w:eastAsia="Calibri" w:cs="Calibri" w:ascii="Calibri" w:hAnsi="Calibri" w:cstheme="minorHAnsi"/>
                <w:kern w:val="0"/>
                <w:sz w:val="22"/>
                <w:szCs w:val="22"/>
                <w:lang w:val="pl-PL" w:eastAsia="en-US" w:bidi="ar-SA"/>
              </w:rPr>
              <w:t>Ściany fundamentowe z bloczków betonowych izolowane termicznie oraz przeciwwilgociowo</w:t>
            </w:r>
          </w:p>
          <w:p>
            <w:pPr>
              <w:pStyle w:val="ListParagraph"/>
              <w:widowControl w:val="false"/>
              <w:numPr>
                <w:ilvl w:val="0"/>
                <w:numId w:val="7"/>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Ściany zewnętrzne oraz wewnętrzne pomiędzy lokalami:</w:t>
            </w:r>
          </w:p>
          <w:p>
            <w:pPr>
              <w:pStyle w:val="ListParagraph"/>
              <w:widowControl w:val="false"/>
              <w:numPr>
                <w:ilvl w:val="0"/>
                <w:numId w:val="9"/>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Elementy monolityczne żelbetowe</w:t>
            </w:r>
          </w:p>
          <w:p>
            <w:pPr>
              <w:pStyle w:val="ListParagraph"/>
              <w:widowControl w:val="false"/>
              <w:numPr>
                <w:ilvl w:val="0"/>
                <w:numId w:val="9"/>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Silikaty, beton komórkowy</w:t>
            </w:r>
          </w:p>
          <w:p>
            <w:pPr>
              <w:pStyle w:val="ListParagraph"/>
              <w:widowControl w:val="false"/>
              <w:numPr>
                <w:ilvl w:val="0"/>
                <w:numId w:val="7"/>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Strop:</w:t>
            </w:r>
          </w:p>
          <w:p>
            <w:pPr>
              <w:pStyle w:val="ListParagraph"/>
              <w:widowControl w:val="false"/>
              <w:numPr>
                <w:ilvl w:val="0"/>
                <w:numId w:val="6"/>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Żelbetowy monolityczny</w:t>
            </w:r>
          </w:p>
          <w:p>
            <w:pPr>
              <w:pStyle w:val="ListParagraph"/>
              <w:widowControl w:val="false"/>
              <w:numPr>
                <w:ilvl w:val="0"/>
                <w:numId w:val="7"/>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Elewacja:</w:t>
            </w:r>
          </w:p>
          <w:p>
            <w:pPr>
              <w:pStyle w:val="ListParagraph"/>
              <w:widowControl w:val="false"/>
              <w:numPr>
                <w:ilvl w:val="0"/>
                <w:numId w:val="6"/>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Elewacja w technologii lekkiej – mokrej systemowej</w:t>
            </w:r>
          </w:p>
          <w:p>
            <w:pPr>
              <w:pStyle w:val="ListParagraph"/>
              <w:widowControl w:val="false"/>
              <w:numPr>
                <w:ilvl w:val="0"/>
                <w:numId w:val="6"/>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Ocieplenie budynku z użyciem styropianu lub wełny mineralnej</w:t>
            </w:r>
          </w:p>
          <w:p>
            <w:pPr>
              <w:pStyle w:val="ListParagraph"/>
              <w:widowControl w:val="false"/>
              <w:numPr>
                <w:ilvl w:val="0"/>
                <w:numId w:val="6"/>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Tynk cienkowarstwowy strukturalny barwiony w masie</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II Zagospodarowanie terenu wokół budynku</w:t>
            </w:r>
          </w:p>
          <w:p>
            <w:pPr>
              <w:pStyle w:val="ListParagraph"/>
              <w:widowControl w:val="false"/>
              <w:numPr>
                <w:ilvl w:val="0"/>
                <w:numId w:val="10"/>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Dojazd do budynku:</w:t>
            </w:r>
          </w:p>
          <w:p>
            <w:pPr>
              <w:pStyle w:val="ListParagraph"/>
              <w:widowControl w:val="false"/>
              <w:numPr>
                <w:ilvl w:val="0"/>
                <w:numId w:val="11"/>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Dojazd z kostki</w:t>
            </w:r>
          </w:p>
          <w:p>
            <w:pPr>
              <w:pStyle w:val="ListParagraph"/>
              <w:widowControl w:val="false"/>
              <w:numPr>
                <w:ilvl w:val="0"/>
                <w:numId w:val="10"/>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Dojścia do budynku:</w:t>
            </w:r>
          </w:p>
          <w:p>
            <w:pPr>
              <w:pStyle w:val="ListParagraph"/>
              <w:widowControl w:val="false"/>
              <w:numPr>
                <w:ilvl w:val="0"/>
                <w:numId w:val="11"/>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Dojścia z kostki</w:t>
            </w:r>
          </w:p>
          <w:p>
            <w:pPr>
              <w:pStyle w:val="ListParagraph"/>
              <w:widowControl w:val="false"/>
              <w:numPr>
                <w:ilvl w:val="0"/>
                <w:numId w:val="10"/>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Miejsca parkingowe:</w:t>
            </w:r>
          </w:p>
          <w:p>
            <w:pPr>
              <w:pStyle w:val="ListParagraph"/>
              <w:widowControl w:val="false"/>
              <w:numPr>
                <w:ilvl w:val="0"/>
                <w:numId w:val="11"/>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2 miejsca parkingowe</w:t>
            </w:r>
          </w:p>
          <w:p>
            <w:pPr>
              <w:pStyle w:val="ListParagraph"/>
              <w:widowControl w:val="false"/>
              <w:numPr>
                <w:ilvl w:val="0"/>
                <w:numId w:val="10"/>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Opaska:</w:t>
            </w:r>
          </w:p>
          <w:p>
            <w:pPr>
              <w:pStyle w:val="ListParagraph"/>
              <w:widowControl w:val="false"/>
              <w:numPr>
                <w:ilvl w:val="0"/>
                <w:numId w:val="11"/>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Opaska wokół budynku z kostki</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Liczba lokali w budynku</w:t>
            </w:r>
          </w:p>
        </w:tc>
        <w:tc>
          <w:tcPr>
            <w:tcW w:w="3926"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2</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Liczba miejsc garażowych i postojowych</w:t>
            </w:r>
          </w:p>
        </w:tc>
        <w:tc>
          <w:tcPr>
            <w:tcW w:w="3926" w:type="dxa"/>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2 miejsca postojowe na 1 lokal</w:t>
            </w:r>
          </w:p>
        </w:tc>
      </w:tr>
      <w:tr>
        <w:trPr/>
        <w:tc>
          <w:tcPr>
            <w:tcW w:w="3071" w:type="dxa"/>
            <w:tcBorders>
              <w:top w:val="nil"/>
              <w:bottom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Dostępne media w budynku</w:t>
            </w:r>
          </w:p>
        </w:tc>
        <w:tc>
          <w:tcPr>
            <w:tcW w:w="3926" w:type="dxa"/>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c.o., kanalizacja sanitarna, energia elektryczna, instalacja wodociągowa, instalacja telewizyjna, instalacja domofonowa, instalacja alarmowa</w:t>
            </w:r>
          </w:p>
        </w:tc>
      </w:tr>
      <w:tr>
        <w:trPr/>
        <w:tc>
          <w:tcPr>
            <w:tcW w:w="3071" w:type="dxa"/>
            <w:tcBorders>
              <w:top w:val="nil"/>
            </w:tcBorders>
            <w:shd w:color="auto" w:fill="F2F2F2" w:val="clear"/>
          </w:tcPr>
          <w:p>
            <w:pPr>
              <w:pStyle w:val="Normal"/>
              <w:widowControl w:val="false"/>
              <w:suppressAutoHyphens w:val="true"/>
              <w:spacing w:lineRule="auto" w:line="240" w:before="144" w:after="144"/>
              <w:jc w:val="left"/>
              <w:rPr>
                <w:rFonts w:ascii="Calibri" w:hAnsi="Calibri"/>
                <w:b/>
              </w:rPr>
            </w:pPr>
            <w:r>
              <w:rPr>
                <w:b/>
              </w:rPr>
            </w:r>
          </w:p>
        </w:tc>
        <w:tc>
          <w:tcPr>
            <w:tcW w:w="2047" w:type="dxa"/>
            <w:tcBorders/>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Dostęp do drogi publicznej</w:t>
            </w:r>
          </w:p>
        </w:tc>
        <w:tc>
          <w:tcPr>
            <w:tcW w:w="3926" w:type="dxa"/>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Jest zagwarantowany poprzez dojazd do terenu inwestycji z ul. Lipowej (dz. nr 904/26 i nr 904/28)</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Określenie usytuowania lokalu mieszkalnego w budynku, jeżeli przedsięwzięcie deweloperskie albo zadanie inwestycyjne dotyczy lokali mieszkalnych</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Lokal C1 – lokal po lewe</w:t>
            </w:r>
            <w:r>
              <w:rPr>
                <w:rFonts w:eastAsia="Times New Roman" w:cs="Times New Roman"/>
                <w:b/>
                <w:kern w:val="0"/>
                <w:sz w:val="20"/>
                <w:szCs w:val="20"/>
                <w:lang w:val="pl-PL" w:eastAsia="pl-PL" w:bidi="ar-SA"/>
              </w:rPr>
              <w:t>j stronie budynku C, patrząc od frontu;</w:t>
            </w:r>
          </w:p>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 xml:space="preserve">Lokal C2 – lokal po prawej stronie budynku C, </w:t>
            </w:r>
            <w:r>
              <w:rPr>
                <w:rFonts w:eastAsia="Times New Roman" w:cs="Times New Roman"/>
                <w:b/>
                <w:kern w:val="0"/>
                <w:sz w:val="20"/>
                <w:szCs w:val="20"/>
                <w:lang w:val="pl-PL" w:eastAsia="pl-PL" w:bidi="ar-SA"/>
              </w:rPr>
              <w:t>patrząc od frontu</w:t>
            </w:r>
            <w:r>
              <w:rPr>
                <w:rFonts w:eastAsia="Times New Roman" w:cs="Times New Roman"/>
                <w:b/>
                <w:kern w:val="0"/>
                <w:sz w:val="20"/>
                <w:szCs w:val="20"/>
                <w:lang w:val="pl-PL" w:eastAsia="pl-PL" w:bidi="ar-SA"/>
              </w:rPr>
              <w:t>.</w:t>
            </w:r>
          </w:p>
          <w:p>
            <w:pPr>
              <w:pStyle w:val="Normal"/>
              <w:widowControl w:val="false"/>
              <w:suppressAutoHyphens w:val="true"/>
              <w:spacing w:lineRule="auto" w:line="240" w:before="144" w:after="144"/>
              <w:jc w:val="left"/>
              <w:rPr>
                <w:rFonts w:ascii="Calibri" w:hAnsi="Calibri"/>
                <w:b/>
              </w:rPr>
            </w:pPr>
            <w:r>
              <w:rPr>
                <w:b/>
              </w:rPr>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Określenie powierzchni użytkowej i układu pomieszczeń oraz zakresu i standardu prac wykończeniowych, do których wykonania zobowiązuje się deweloper</w:t>
            </w:r>
          </w:p>
        </w:tc>
        <w:tc>
          <w:tcPr>
            <w:tcW w:w="5973" w:type="dxa"/>
            <w:gridSpan w:val="2"/>
            <w:tcBorders/>
          </w:tcPr>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Budynek jednorodzinny dwulokalowy. Każdy lokal mieszkalny ma powierzchnię użytkową 85,15 m² i składa się z:</w:t>
            </w:r>
          </w:p>
          <w:p>
            <w:pPr>
              <w:pStyle w:val="Normal"/>
              <w:widowControl w:val="false"/>
              <w:suppressAutoHyphens w:val="true"/>
              <w:spacing w:lineRule="auto" w:line="240" w:before="0" w:after="0"/>
              <w:jc w:val="left"/>
              <w:rPr>
                <w:rFonts w:ascii="Calibri" w:hAnsi="Calibri"/>
              </w:rPr>
            </w:pPr>
            <w:r>
              <w:rPr>
                <w:rFonts w:eastAsia="Calibri" w:cs="Calibri" w:cstheme="minorHAnsi"/>
                <w:bCs/>
                <w:kern w:val="0"/>
                <w:sz w:val="22"/>
                <w:szCs w:val="22"/>
                <w:lang w:val="pl-PL" w:eastAsia="en-US" w:bidi="ar-SA"/>
              </w:rPr>
              <w:t>1)</w:t>
            </w:r>
            <w:r>
              <w:rPr>
                <w:rFonts w:eastAsia="Calibri" w:cs="Calibri" w:cstheme="minorHAnsi"/>
                <w:b/>
                <w:kern w:val="0"/>
                <w:sz w:val="22"/>
                <w:szCs w:val="22"/>
                <w:lang w:val="pl-PL" w:eastAsia="en-US" w:bidi="ar-SA"/>
              </w:rPr>
              <w:t xml:space="preserve"> </w:t>
            </w:r>
            <w:r>
              <w:rPr>
                <w:rFonts w:eastAsia="Calibri" w:cs="Calibri" w:cstheme="minorHAnsi"/>
                <w:kern w:val="0"/>
                <w:sz w:val="22"/>
                <w:szCs w:val="22"/>
                <w:lang w:val="pl-PL" w:eastAsia="en-US" w:bidi="ar-SA"/>
              </w:rPr>
              <w:t>parteru, na który składają się:</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wiatrołap,</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przedpokój,</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salon z aneksem kuchennym,</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łazienka,</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spiżarnia,</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pokój</w:t>
            </w:r>
            <w:r>
              <w:rPr>
                <w:rFonts w:eastAsia="Calibri" w:cs="Calibri" w:cstheme="minorHAnsi"/>
                <w:kern w:val="0"/>
                <w:sz w:val="22"/>
                <w:szCs w:val="22"/>
                <w:lang w:val="pl-PL" w:eastAsia="en-US" w:bidi="ar-SA"/>
              </w:rPr>
              <w:t>.</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2) poddasza użytkowego, na które składają się:</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korytarz,</w:t>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- 3 pokoje,</w:t>
            </w:r>
          </w:p>
          <w:p>
            <w:pPr>
              <w:pStyle w:val="Normal"/>
              <w:widowControl w:val="false"/>
              <w:suppressAutoHyphens w:val="true"/>
              <w:spacing w:lineRule="auto" w:line="240" w:before="0" w:after="0"/>
              <w:jc w:val="left"/>
              <w:rPr>
                <w:rFonts w:ascii="Calibri" w:hAnsi="Calibri"/>
              </w:rPr>
            </w:pPr>
            <w:r>
              <w:rPr>
                <w:rFonts w:eastAsia="Calibri" w:cs="Calibri" w:cstheme="minorHAnsi"/>
                <w:bCs/>
                <w:kern w:val="0"/>
                <w:sz w:val="22"/>
                <w:szCs w:val="22"/>
                <w:lang w:val="pl-PL" w:eastAsia="en-US" w:bidi="ar-SA"/>
              </w:rPr>
              <w:t>-</w:t>
            </w:r>
            <w:r>
              <w:rPr>
                <w:rFonts w:eastAsia="Calibri" w:cs="Calibri" w:cstheme="minorHAnsi"/>
                <w:b/>
                <w:kern w:val="0"/>
                <w:sz w:val="22"/>
                <w:szCs w:val="22"/>
                <w:lang w:val="pl-PL" w:eastAsia="en-US" w:bidi="ar-SA"/>
              </w:rPr>
              <w:t xml:space="preserve"> </w:t>
            </w:r>
            <w:r>
              <w:rPr>
                <w:rFonts w:eastAsia="Calibri" w:cs="Calibri" w:cstheme="minorHAnsi"/>
                <w:kern w:val="0"/>
                <w:sz w:val="22"/>
                <w:szCs w:val="22"/>
                <w:lang w:val="pl-PL" w:eastAsia="en-US" w:bidi="ar-SA"/>
              </w:rPr>
              <w:t>łazienka</w:t>
            </w:r>
            <w:r>
              <w:rPr>
                <w:rFonts w:eastAsia="Calibri" w:cs="Calibri" w:cstheme="minorHAnsi"/>
                <w:kern w:val="0"/>
                <w:sz w:val="22"/>
                <w:szCs w:val="22"/>
                <w:lang w:val="pl-PL" w:eastAsia="en-US" w:bidi="ar-SA"/>
              </w:rPr>
              <w:t>.</w:t>
            </w:r>
          </w:p>
          <w:p>
            <w:pPr>
              <w:pStyle w:val="Normal"/>
              <w:widowControl w:val="false"/>
              <w:suppressAutoHyphens w:val="true"/>
              <w:spacing w:lineRule="auto" w:line="240" w:before="0" w:after="0"/>
              <w:jc w:val="left"/>
              <w:rPr>
                <w:rFonts w:ascii="Calibri" w:hAnsi="Calibri" w:cs="Calibri" w:cstheme="minorHAnsi"/>
              </w:rPr>
            </w:pPr>
            <w:r>
              <w:rPr>
                <w:rFonts w:cs="Calibri" w:cstheme="minorHAnsi"/>
              </w:rPr>
            </w:r>
          </w:p>
          <w:p>
            <w:pPr>
              <w:pStyle w:val="Normal"/>
              <w:widowControl w:val="false"/>
              <w:suppressAutoHyphens w:val="true"/>
              <w:spacing w:lineRule="auto" w:line="240" w:before="0" w:after="0"/>
              <w:jc w:val="left"/>
              <w:rPr>
                <w:rFonts w:ascii="Calibri" w:hAnsi="Calibri"/>
              </w:rPr>
            </w:pPr>
            <w:r>
              <w:rPr>
                <w:rFonts w:eastAsia="Calibri" w:cs="Calibri" w:cstheme="minorHAnsi"/>
                <w:kern w:val="0"/>
                <w:sz w:val="22"/>
                <w:szCs w:val="22"/>
                <w:lang w:val="pl-PL" w:eastAsia="en-US" w:bidi="ar-SA"/>
              </w:rPr>
              <w:t>I Lokal mieszkalny:</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Ściany wewnętrzne konstrukcyjne i działowe:</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Elementy monolityczne żelbetowe</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Silikaty, beton komórkowy</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Tynki gipsowe</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Wykończenie sufitów:</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Tynki gipsowe</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Na parterze tynk, na poddaszu płyta karton-gips ogniowa</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Podłoża pod posadzki:</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Z zaprawy cementowej, zatarte na gładko</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Instalacja podposadzkowa grzewcza na styropianie klasy 100</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Stolarka okienna: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Profil PCV o współczynniku przenikania ciepła wg normy</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Okna trzyszybowe</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Na parterze rolety elektrycznie sterowane</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Parapety wewnętrzne:</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Granitowe</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Stolarka drzwiowa: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Drzwi zewnętrzne o izolacyjności cieplnej zgodnej z normą</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Tarasy:</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Wylewka betonowa lub kostka brukowa</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Wentylacja: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Grawitacyjna</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ogrzewania: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Ogrzewanie podłogowe w całym domu</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Źródło ciepła: pompa ciepła</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wodno-kanalizacyjna: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Kanalizacja – rury z tworzyw sztucznych zakończone: w kuchni – podejściem do odbiorników (zlewozmywak lub zmywarka); w łazienkach – podejściem do odbiorników (wanna, prysznic, toaleta, pralka, umywalka)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Woda ciepła i zimna: podejścia w łazienkach i kuchni zakończone gwintem i zaślepką</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Bez białego montażu</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elektryczna: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Instalacja bez osprzętu</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Skrzynka rozdzielcza kompletna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Instalacja oświetleniowa – punkty zakończone kostką</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W kuchni dodatkowa puszka do kuchenki 400V</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telewizyjna: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2 gniazda TV</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domofonowa: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Możliwość montażu wideodomofonu we własnym zakresie</w:t>
            </w:r>
          </w:p>
          <w:p>
            <w:pPr>
              <w:pStyle w:val="ListParagraph"/>
              <w:widowControl w:val="false"/>
              <w:numPr>
                <w:ilvl w:val="0"/>
                <w:numId w:val="12"/>
              </w:numPr>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Instalacja alarmowa:</w:t>
            </w:r>
          </w:p>
          <w:p>
            <w:pPr>
              <w:pStyle w:val="ListParagraph"/>
              <w:widowControl w:val="false"/>
              <w:suppressAutoHyphens w:val="true"/>
              <w:spacing w:lineRule="auto" w:line="240" w:before="0" w:after="0"/>
              <w:contextualSpacing/>
              <w:jc w:val="left"/>
              <w:rPr>
                <w:rFonts w:ascii="Calibri" w:hAnsi="Calibri"/>
              </w:rPr>
            </w:pPr>
            <w:r>
              <w:rPr>
                <w:rFonts w:eastAsia="Calibri" w:cs="Calibri" w:ascii="Calibri" w:hAnsi="Calibri" w:cstheme="minorHAnsi"/>
                <w:kern w:val="0"/>
                <w:sz w:val="22"/>
                <w:szCs w:val="22"/>
                <w:lang w:val="pl-PL" w:eastAsia="en-US" w:bidi="ar-SA"/>
              </w:rPr>
              <w:t>•</w:t>
            </w:r>
            <w:r>
              <w:rPr>
                <w:rFonts w:eastAsia="Calibri" w:cs="Calibri" w:ascii="Calibri" w:hAnsi="Calibri" w:cstheme="minorHAnsi"/>
                <w:kern w:val="0"/>
                <w:sz w:val="22"/>
                <w:szCs w:val="22"/>
                <w:lang w:val="pl-PL" w:eastAsia="en-US" w:bidi="ar-SA"/>
              </w:rPr>
              <w:tab/>
              <w:t>Rozprowadzona instalacja alarmowa</w:t>
            </w:r>
          </w:p>
          <w:p>
            <w:pPr>
              <w:pStyle w:val="ListParagraph"/>
              <w:widowControl w:val="false"/>
              <w:suppressAutoHyphens w:val="true"/>
              <w:spacing w:lineRule="auto" w:line="240" w:before="0" w:after="0"/>
              <w:contextualSpacing/>
              <w:jc w:val="left"/>
              <w:rPr>
                <w:rFonts w:ascii="Calibri" w:hAnsi="Calibri" w:cs="Calibri" w:cstheme="minorHAnsi"/>
              </w:rPr>
            </w:pPr>
            <w:r>
              <w:rPr>
                <w:rFonts w:cs="Calibri" w:cstheme="minorHAnsi" w:ascii="Calibri" w:hAnsi="Calibri"/>
              </w:rPr>
            </w:r>
          </w:p>
        </w:tc>
      </w:tr>
      <w:tr>
        <w:trPr>
          <w:trHeight w:val="1035" w:hRule="atLeast"/>
        </w:trPr>
        <w:tc>
          <w:tcPr>
            <w:tcW w:w="3071" w:type="dxa"/>
            <w:tcBorders/>
            <w:shd w:color="auto" w:fill="F2F2F2" w:val="clear"/>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Data wydania zaświadczenia o samodzielności lokalu mieszkalnego</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w:t>
            </w:r>
          </w:p>
        </w:tc>
      </w:tr>
      <w:tr>
        <w:trPr>
          <w:trHeight w:val="1050" w:hRule="atLeast"/>
        </w:trPr>
        <w:tc>
          <w:tcPr>
            <w:tcW w:w="3071" w:type="dxa"/>
            <w:tcBorders/>
            <w:shd w:color="auto" w:fill="F2F2F2" w:val="clear"/>
          </w:tcPr>
          <w:p>
            <w:pPr>
              <w:pStyle w:val="Normal"/>
              <w:widowControl w:val="false"/>
              <w:suppressAutoHyphens w:val="true"/>
              <w:spacing w:lineRule="auto" w:line="240" w:before="144" w:after="144"/>
              <w:jc w:val="left"/>
              <w:rPr>
                <w:rFonts w:ascii="Calibri" w:hAnsi="Calibri"/>
              </w:rPr>
            </w:pPr>
            <w:r>
              <w:rPr>
                <w:rFonts w:eastAsia="Times New Roman" w:cs="Times New Roman"/>
                <w:kern w:val="0"/>
                <w:sz w:val="20"/>
                <w:szCs w:val="20"/>
                <w:lang w:val="pl-PL" w:eastAsia="pl-PL" w:bidi="ar-SA"/>
              </w:rPr>
              <w:t>Data ustanowienia odrębnej własności lokalu mieszkalnego</w:t>
            </w:r>
          </w:p>
        </w:tc>
        <w:tc>
          <w:tcPr>
            <w:tcW w:w="5973" w:type="dxa"/>
            <w:gridSpan w:val="2"/>
            <w:tcBorders/>
          </w:tcPr>
          <w:p>
            <w:pPr>
              <w:pStyle w:val="Normal"/>
              <w:widowControl w:val="false"/>
              <w:suppressAutoHyphens w:val="true"/>
              <w:spacing w:lineRule="auto" w:line="240" w:before="144" w:after="144"/>
              <w:jc w:val="left"/>
              <w:rPr>
                <w:rFonts w:ascii="Calibri" w:hAnsi="Calibri"/>
              </w:rPr>
            </w:pPr>
            <w:r>
              <w:rPr>
                <w:rFonts w:eastAsia="Times New Roman" w:cs="Times New Roman"/>
                <w:b/>
                <w:kern w:val="0"/>
                <w:sz w:val="20"/>
                <w:szCs w:val="20"/>
                <w:lang w:val="pl-PL" w:eastAsia="pl-PL" w:bidi="ar-SA"/>
              </w:rPr>
              <w:t>-</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Informacje o lokalu użytkowym nabywanym równocześnie z lokalem mieszkalnym albo domem jednorodzinnym</w:t>
            </w:r>
          </w:p>
        </w:tc>
        <w:tc>
          <w:tcPr>
            <w:tcW w:w="5973" w:type="dxa"/>
            <w:gridSpan w:val="2"/>
            <w:tcBorders/>
          </w:tcPr>
          <w:p>
            <w:pPr>
              <w:pStyle w:val="Normal"/>
              <w:widowControl w:val="false"/>
              <w:suppressAutoHyphens w:val="true"/>
              <w:spacing w:lineRule="auto" w:line="240" w:before="0" w:after="0"/>
              <w:jc w:val="left"/>
              <w:rPr>
                <w:rFonts w:ascii="Calibri" w:hAnsi="Calibri"/>
              </w:rPr>
            </w:pPr>
            <w:r>
              <w:rPr>
                <w:rFonts w:eastAsia="Calibri" w:cs="Calibri" w:cstheme="minorHAnsi"/>
                <w:sz w:val="22"/>
                <w:szCs w:val="22"/>
                <w:lang w:eastAsia="en-US"/>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 xml:space="preserve">Cenę lokalu użytkowego albo ułamkowej części własności lokalu użytkowego </w:t>
            </w:r>
          </w:p>
        </w:tc>
        <w:tc>
          <w:tcPr>
            <w:tcW w:w="5973" w:type="dxa"/>
            <w:gridSpan w:val="2"/>
            <w:tcBorders/>
          </w:tcPr>
          <w:p>
            <w:pPr>
              <w:pStyle w:val="Normal"/>
              <w:widowControl w:val="false"/>
              <w:suppressAutoHyphens w:val="true"/>
              <w:spacing w:lineRule="auto" w:line="240" w:before="0" w:after="0"/>
              <w:jc w:val="left"/>
              <w:rPr>
                <w:rFonts w:ascii="Calibri" w:hAnsi="Calibri"/>
              </w:rPr>
            </w:pPr>
            <w:r>
              <w:rPr>
                <w:rFonts w:eastAsia="Calibri" w:cs="Calibri" w:cstheme="minorHAnsi"/>
                <w:sz w:val="22"/>
                <w:szCs w:val="22"/>
                <w:lang w:eastAsia="en-US"/>
              </w:rPr>
              <w:t>Nie dotyczy</w:t>
            </w:r>
          </w:p>
        </w:tc>
      </w:tr>
      <w:tr>
        <w:trPr/>
        <w:tc>
          <w:tcPr>
            <w:tcW w:w="3071" w:type="dxa"/>
            <w:tcBorders/>
            <w:shd w:color="auto" w:fill="F2F2F2" w:val="clear"/>
          </w:tcPr>
          <w:p>
            <w:pPr>
              <w:pStyle w:val="Normal"/>
              <w:widowControl w:val="false"/>
              <w:suppressAutoHyphens w:val="true"/>
              <w:spacing w:lineRule="auto" w:line="240" w:before="144" w:after="144"/>
              <w:jc w:val="both"/>
              <w:rPr>
                <w:rFonts w:ascii="Calibri" w:hAnsi="Calibri"/>
              </w:rPr>
            </w:pPr>
            <w:r>
              <w:rPr>
                <w:rFonts w:eastAsia="Times New Roman" w:cs="Times New Roman"/>
                <w:kern w:val="0"/>
                <w:sz w:val="20"/>
                <w:szCs w:val="20"/>
                <w:lang w:val="pl-PL" w:eastAsia="pl-PL" w:bidi="ar-SA"/>
              </w:rPr>
              <w:t>Termin, do którego nastąpi przeniesienie prawa własności lokalu użytkowego albo ułamkowej części własności lokalu użytkowego</w:t>
            </w:r>
          </w:p>
        </w:tc>
        <w:tc>
          <w:tcPr>
            <w:tcW w:w="5973" w:type="dxa"/>
            <w:gridSpan w:val="2"/>
            <w:tcBorders/>
          </w:tcPr>
          <w:p>
            <w:pPr>
              <w:pStyle w:val="Normal"/>
              <w:widowControl w:val="false"/>
              <w:suppressAutoHyphens w:val="true"/>
              <w:spacing w:lineRule="auto" w:line="240" w:before="0" w:after="0"/>
              <w:jc w:val="left"/>
              <w:rPr>
                <w:rFonts w:ascii="Calibri" w:hAnsi="Calibri"/>
              </w:rPr>
            </w:pPr>
            <w:r>
              <w:rPr>
                <w:rFonts w:eastAsia="Calibri" w:cs="Calibri" w:cstheme="minorHAnsi"/>
                <w:sz w:val="22"/>
                <w:szCs w:val="22"/>
                <w:lang w:eastAsia="en-US"/>
              </w:rPr>
              <w:t>Nie dotyczy</w:t>
            </w:r>
          </w:p>
        </w:tc>
      </w:tr>
    </w:tbl>
    <w:p>
      <w:pPr>
        <w:pStyle w:val="Normal"/>
        <w:spacing w:lineRule="auto" w:line="240" w:before="144" w:after="144"/>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right"/>
        <w:rPr>
          <w:rFonts w:ascii="Calibri" w:hAnsi="Calibri"/>
        </w:rPr>
      </w:pPr>
      <w:r>
        <w:rPr>
          <w:rFonts w:eastAsia="Times New Roman" w:cs="Times New Roman"/>
          <w:b/>
          <w:sz w:val="20"/>
          <w:szCs w:val="20"/>
        </w:rPr>
        <w:t>Podpis osoby upoważnionej do reprezentacji dewelopera</w:t>
      </w:r>
    </w:p>
    <w:p>
      <w:pPr>
        <w:pStyle w:val="Normal"/>
        <w:spacing w:lineRule="auto" w:line="240" w:before="144" w:after="144"/>
        <w:jc w:val="right"/>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right"/>
        <w:rPr>
          <w:rFonts w:ascii="Calibri" w:hAnsi="Calibri"/>
        </w:rPr>
      </w:pPr>
      <w:r>
        <w:rPr>
          <w:rFonts w:eastAsia="Times New Roman" w:cs="Times New Roman"/>
          <w:b/>
          <w:sz w:val="20"/>
          <w:szCs w:val="20"/>
        </w:rPr>
        <w:t>…</w:t>
      </w:r>
      <w:r>
        <w:rPr>
          <w:rFonts w:eastAsia="Times New Roman" w:cs="Times New Roman"/>
          <w:b/>
          <w:sz w:val="20"/>
          <w:szCs w:val="20"/>
        </w:rPr>
        <w:t>...………………………………….</w:t>
      </w:r>
    </w:p>
    <w:p>
      <w:pPr>
        <w:pStyle w:val="Normal"/>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w:r>
    </w:p>
    <w:p>
      <w:pPr>
        <w:pStyle w:val="Normal"/>
        <w:spacing w:lineRule="auto" w:line="240" w:before="144" w:after="144"/>
        <w:jc w:val="both"/>
        <w:rPr>
          <w:rFonts w:ascii="Calibri" w:hAnsi="Calibri" w:eastAsia="Times New Roman" w:cs="Times New Roman"/>
          <w:b/>
          <w:sz w:val="20"/>
          <w:szCs w:val="20"/>
        </w:rPr>
      </w:pPr>
      <w:r>
        <w:rPr>
          <w:rFonts w:eastAsia="Times New Roman" w:cs="Times New Roman"/>
          <w:b/>
          <w:sz w:val="20"/>
          <w:szCs w:val="20"/>
        </w:rPr>
        <mc:AlternateContent>
          <mc:Choice Requires="wps">
            <w:drawing>
              <wp:anchor behindDoc="0" distT="14605" distB="14605" distL="14605" distR="14605" simplePos="0" locked="0" layoutInCell="0" allowOverlap="1" relativeHeight="2" wp14:anchorId="3DD5D02F">
                <wp:simplePos x="0" y="0"/>
                <wp:positionH relativeFrom="column">
                  <wp:posOffset>-800100</wp:posOffset>
                </wp:positionH>
                <wp:positionV relativeFrom="paragraph">
                  <wp:posOffset>10160</wp:posOffset>
                </wp:positionV>
                <wp:extent cx="7543800" cy="0"/>
                <wp:effectExtent l="14605" t="14605" r="14605" b="14605"/>
                <wp:wrapNone/>
                <wp:docPr id="1" name="Line 20"/>
                <a:graphic xmlns:a="http://schemas.openxmlformats.org/drawingml/2006/main">
                  <a:graphicData uri="http://schemas.microsoft.com/office/word/2010/wordprocessingShape">
                    <wps:wsp>
                      <wps:cNvSpPr/>
                      <wps:spPr>
                        <a:xfrm>
                          <a:off x="0" y="0"/>
                          <a:ext cx="7543800" cy="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0.8pt" to="530.95pt,0.8pt" ID="Line 20" stroked="t" o:allowincell="f" style="position:absolute" wp14:anchorId="3DD5D02F">
                <v:stroke color="black" weight="28440" joinstyle="round" endcap="flat"/>
                <v:fill o:detectmouseclick="t" on="false"/>
                <w10:wrap type="none"/>
              </v:line>
            </w:pict>
          </mc:Fallback>
        </mc:AlternateContent>
      </w:r>
    </w:p>
    <w:p>
      <w:pPr>
        <w:pStyle w:val="Normal"/>
        <w:spacing w:lineRule="auto" w:line="240" w:before="144" w:after="144"/>
        <w:jc w:val="both"/>
        <w:rPr>
          <w:rFonts w:ascii="Calibri" w:hAnsi="Calibri"/>
        </w:rPr>
      </w:pPr>
      <w:r>
        <w:rPr>
          <w:rFonts w:eastAsia="Times New Roman" w:cs="Times New Roman"/>
          <w:b/>
          <w:sz w:val="20"/>
          <w:szCs w:val="20"/>
        </w:rPr>
        <w:t>Załączniki:</w:t>
      </w:r>
    </w:p>
    <w:p>
      <w:pPr>
        <w:pStyle w:val="Normal"/>
        <w:spacing w:lineRule="auto" w:line="240" w:before="144" w:after="144"/>
        <w:jc w:val="both"/>
        <w:rPr>
          <w:rFonts w:ascii="Calibri" w:hAnsi="Calibri"/>
        </w:rPr>
      </w:pPr>
      <w:r>
        <w:rPr>
          <w:rFonts w:eastAsia="Times New Roman" w:cs="Times New Roman"/>
          <w:sz w:val="20"/>
          <w:szCs w:val="20"/>
        </w:rPr>
        <w:t>1. Rzut kondygnacji z zaznaczeniem lokalu mieszkalnego.</w:t>
      </w:r>
    </w:p>
    <w:p>
      <w:pPr>
        <w:pStyle w:val="Normal"/>
        <w:spacing w:lineRule="auto" w:line="240" w:before="144" w:after="144"/>
        <w:jc w:val="both"/>
        <w:rPr>
          <w:rFonts w:ascii="Calibri" w:hAnsi="Calibri"/>
        </w:rPr>
      </w:pPr>
      <w:r>
        <w:rPr>
          <w:rFonts w:eastAsia="Times New Roman" w:cs="Times New Roman"/>
          <w:sz w:val="20"/>
          <w:szCs w:val="20"/>
        </w:rPr>
        <w:t>2. Wzór umowy deweloperskiej lub umowy, o której mowa w art. 2 ust. 1 pkt 2, 3 lub 5 ustawy z dnia … o ochronie praw nabywcy lokalu mieszkalnego lub domu jednorodzinnego oraz o Deweloperskim Funduszu Gwarancyjnym.</w:t>
      </w:r>
    </w:p>
    <w:p>
      <w:pPr>
        <w:pStyle w:val="Normal"/>
        <w:spacing w:lineRule="auto" w:line="240" w:before="144" w:after="144"/>
        <w:jc w:val="both"/>
        <w:rPr>
          <w:rFonts w:ascii="Calibri" w:hAnsi="Calibri"/>
        </w:rPr>
      </w:pPr>
      <w:r>
        <w:rPr>
          <w:rFonts w:eastAsia="Times New Roman" w:cs="Times New Roman"/>
          <w:sz w:val="20"/>
          <w:szCs w:val="20"/>
        </w:rPr>
        <w:t xml:space="preserve">3. Szkic koncepcji zagospodarowania terenu inwestycji i jego otoczenia z zaznaczeniem budynku oraz istotny uwarunkowań lokalizacji inwestycji wynikających z przepisów odrębnych oraz z istniejącego i planowanego stanu użytkowania terenów sąsiednich (np. z funkcji terenu, stref ochronnych, uciążliwości). </w:t>
      </w:r>
    </w:p>
    <w:p>
      <w:pPr>
        <w:pStyle w:val="Normal"/>
        <w:spacing w:lineRule="auto" w:line="240" w:before="144" w:after="144"/>
        <w:jc w:val="both"/>
        <w:rPr>
          <w:rFonts w:ascii="Calibri" w:hAnsi="Calibri"/>
        </w:rPr>
      </w:pPr>
      <w:r>
        <w:rPr/>
        <mc:AlternateContent>
          <mc:Choice Requires="wps">
            <w:drawing>
              <wp:anchor behindDoc="0" distT="14605" distB="14605" distL="14605" distR="14605" simplePos="0" locked="0" layoutInCell="0" allowOverlap="1" relativeHeight="3" wp14:anchorId="7AE05BA1">
                <wp:simplePos x="0" y="0"/>
                <wp:positionH relativeFrom="column">
                  <wp:posOffset>-800100</wp:posOffset>
                </wp:positionH>
                <wp:positionV relativeFrom="paragraph">
                  <wp:posOffset>84455</wp:posOffset>
                </wp:positionV>
                <wp:extent cx="7543800" cy="635"/>
                <wp:effectExtent l="14605" t="14605" r="14605" b="14605"/>
                <wp:wrapNone/>
                <wp:docPr id="2" name="Line 19"/>
                <a:graphic xmlns:a="http://schemas.openxmlformats.org/drawingml/2006/main">
                  <a:graphicData uri="http://schemas.microsoft.com/office/word/2010/wordprocessingShape">
                    <wps:wsp>
                      <wps:cNvSpPr/>
                      <wps:spPr>
                        <a:xfrm>
                          <a:off x="0" y="0"/>
                          <a:ext cx="7543800" cy="720"/>
                        </a:xfrm>
                        <a:prstGeom prst="line">
                          <a:avLst/>
                        </a:prstGeom>
                        <a:ln w="28575">
                          <a:solidFill>
                            <a:srgbClr val="000000"/>
                          </a:solidFill>
                          <a:round/>
                        </a:ln>
                      </wps:spPr>
                      <wps:style>
                        <a:lnRef idx="0"/>
                        <a:fillRef idx="0"/>
                        <a:effectRef idx="0"/>
                        <a:fontRef idx="minor"/>
                      </wps:style>
                      <wps:bodyPr/>
                    </wps:wsp>
                  </a:graphicData>
                </a:graphic>
              </wp:anchor>
            </w:drawing>
          </mc:Choice>
          <mc:Fallback>
            <w:pict>
              <v:line id="shape_0" from="-63pt,6.65pt" to="530.95pt,6.65pt" ID="Line 19" stroked="t" o:allowincell="f" style="position:absolute" wp14:anchorId="7AE05BA1">
                <v:stroke color="black" weight="28440" joinstyle="round" endcap="flat"/>
                <v:fill o:detectmouseclick="t" on="false"/>
                <w10:wrap type="none"/>
              </v:line>
            </w:pict>
          </mc:Fallback>
        </mc:AlternateContent>
      </w:r>
    </w:p>
    <w:sectPr>
      <w:footerReference w:type="default" r:id="rId2"/>
      <w:footerReference w:type="first" r:id="rId3"/>
      <w:footnotePr>
        <w:numFmt w:val="decimal"/>
        <w:numRestart w:val="eachPage"/>
      </w:footnotePr>
      <w:type w:val="nextPage"/>
      <w:pgSz w:w="11906" w:h="16838"/>
      <w:pgMar w:left="1417" w:right="1417" w:gutter="0" w:header="0" w:top="1417" w:footer="709" w:bottom="1417"/>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9605048"/>
    </w:sdtPr>
    <w:sdtContent>
      <w:p>
        <w:pPr>
          <w:pStyle w:val="Stopka"/>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center"/>
      <w:rPr/>
    </w:pPr>
    <w:r>
      <w:rPr/>
    </w:r>
  </w:p>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284" w:hanging="284"/>
        <w:jc w:val="both"/>
        <w:rPr>
          <w:rFonts w:ascii="Times New Roman" w:hAnsi="Times New Roman"/>
          <w:sz w:val="18"/>
          <w:szCs w:val="18"/>
        </w:rPr>
      </w:pPr>
      <w:r>
        <w:rPr>
          <w:rStyle w:val="Znakiprzypiswdolnych"/>
        </w:rPr>
        <w:t>1)</w:t>
      </w:r>
      <w:r>
        <w:rPr>
          <w:rStyle w:val="Znakiprzypiswdolnych"/>
        </w:rPr>
        <w:tab/>
        <w:t>1)1)1)1)</w:t>
      </w:r>
      <w:r>
        <w:rPr>
          <w:rStyle w:val="Znakiprzypiswdolnych"/>
          <w:rFonts w:ascii="Times New Roman" w:hAnsi="Times New Roman"/>
          <w:sz w:val="18"/>
          <w:szCs w:val="18"/>
        </w:rPr>
        <w:t>1)</w:t>
      </w:r>
      <w:r>
        <w:rPr>
          <w:rFonts w:ascii="Times New Roman" w:hAnsi="Times New Roman"/>
          <w:sz w:val="18"/>
          <w:szCs w:val="18"/>
        </w:rPr>
        <w:t>Jeżeli działka nie posiada adresu, należy opisowo określić jej położenie.</w:t>
      </w:r>
    </w:p>
  </w:footnote>
  <w:footnote w:id="3">
    <w:p>
      <w:pPr>
        <w:pStyle w:val="Przypisdolny"/>
        <w:widowControl w:val="false"/>
        <w:ind w:left="284" w:hanging="284"/>
        <w:jc w:val="both"/>
        <w:rPr>
          <w:rFonts w:ascii="Times New Roman" w:hAnsi="Times New Roman" w:cs="Times New Roman"/>
          <w:sz w:val="18"/>
          <w:szCs w:val="18"/>
        </w:rPr>
      </w:pPr>
      <w:r>
        <w:rPr>
          <w:rStyle w:val="Znakiprzypiswdolnych"/>
        </w:rPr>
        <w:t>2)</w:t>
      </w:r>
      <w:r>
        <w:rPr>
          <w:rStyle w:val="Znakiprzypiswdolnych"/>
        </w:rPr>
        <w:tab/>
        <w:t>2)2)2)2)</w:t>
      </w:r>
      <w:r>
        <w:rPr>
          <w:rStyle w:val="Znakiprzypiswdolnych"/>
          <w:rFonts w:ascii="Times New Roman" w:hAnsi="Times New Roman"/>
          <w:sz w:val="18"/>
          <w:szCs w:val="18"/>
        </w:rPr>
        <w:t>2)</w:t>
      </w:r>
      <w:r>
        <w:rPr>
          <w:rFonts w:cs="Times New Roman" w:ascii="Times New Roman" w:hAnsi="Times New Roman"/>
          <w:sz w:val="18"/>
          <w:szCs w:val="18"/>
        </w:rPr>
        <w:t>W szczególności imię i nazwisko albo firma właściciela lub użytkownika wieczystego oraz istniejące obciążenia na nieruchomości.</w:t>
      </w:r>
    </w:p>
  </w:footnote>
  <w:footnote w:id="4">
    <w:p>
      <w:pPr>
        <w:pStyle w:val="Przypisdolny"/>
        <w:widowControl w:val="false"/>
        <w:ind w:left="284" w:hanging="284"/>
        <w:jc w:val="both"/>
        <w:rPr>
          <w:rFonts w:ascii="Times New Roman" w:hAnsi="Times New Roman" w:cs="Times New Roman"/>
          <w:sz w:val="18"/>
          <w:szCs w:val="18"/>
        </w:rPr>
      </w:pPr>
      <w:r>
        <w:rPr>
          <w:rStyle w:val="Znakiprzypiswdolnych"/>
        </w:rPr>
        <w:t>3)</w:t>
      </w:r>
      <w:r>
        <w:rPr>
          <w:rStyle w:val="Znakiprzypiswdolnych"/>
        </w:rPr>
        <w:tab/>
        <w:t>3)3)3)3)</w:t>
      </w:r>
      <w:r>
        <w:rPr>
          <w:rStyle w:val="Znakiprzypiswdolnych"/>
          <w:rFonts w:ascii="Times New Roman" w:hAnsi="Times New Roman"/>
          <w:sz w:val="18"/>
          <w:szCs w:val="18"/>
        </w:rPr>
        <w:t>3)</w:t>
      </w:r>
      <w:r>
        <w:rPr>
          <w:rFonts w:cs="Times New Roman" w:ascii="Times New Roman" w:hAnsi="Times New Roman"/>
          <w:sz w:val="18"/>
          <w:szCs w:val="18"/>
        </w:rPr>
        <w:t>W szczególności obiekty generujące uciążliwości zapachowe, hałasowe, świetlne.</w:t>
      </w:r>
    </w:p>
  </w:footnote>
  <w:footnote w:id="5">
    <w:p>
      <w:pPr>
        <w:pStyle w:val="Normal"/>
        <w:widowControl w:val="false"/>
        <w:spacing w:lineRule="auto" w:line="240" w:before="0" w:after="0"/>
        <w:ind w:left="284" w:hanging="284"/>
        <w:jc w:val="both"/>
        <w:rPr>
          <w:rFonts w:ascii="Times New Roman" w:hAnsi="Times New Roman" w:cs="Times New Roman"/>
          <w:sz w:val="18"/>
          <w:szCs w:val="18"/>
        </w:rPr>
      </w:pPr>
      <w:r>
        <w:rPr>
          <w:rStyle w:val="Znakiprzypiswdolnych"/>
        </w:rPr>
        <w:t>4)</w:t>
      </w:r>
      <w:r>
        <w:rPr>
          <w:rStyle w:val="Znakiprzypiswdolnych"/>
        </w:rPr>
        <w:tab/>
        <w:t>4)4)4)4)</w:t>
      </w:r>
      <w:r>
        <w:rPr>
          <w:rStyle w:val="Znakiprzypiswdolnych"/>
          <w:rFonts w:ascii="Times New Roman" w:hAnsi="Times New Roman"/>
          <w:sz w:val="18"/>
          <w:szCs w:val="18"/>
        </w:rPr>
        <w:t>4)</w:t>
      </w:r>
      <w:r>
        <w:rPr>
          <w:rFonts w:cs="Times New Roman" w:ascii="Times New Roman" w:hAnsi="Times New Roman"/>
          <w:sz w:val="18"/>
          <w:szCs w:val="18"/>
        </w:rPr>
        <w:t>Akty prawne (rozporządzenia, zarządzenia, uchwały) w sprawie:</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dokonania rezerwacji obszaru inwestycji (CPK),</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lokalizacji inwestycji mieszkaniowej lub inwestycji towarzyszącej,</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ustanowienia strefy ochronnej terenu ochrony bezpośredniej i terenu ochrony pośredniej ujęcia wody,</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wyznaczenia obszarów cichych w aglomeracji lub obszarów cichych poza aglomeracją,</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utworzenia obszaru ograniczonego użytkowania,</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uznania zabytku za pomnik historii,</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określenia granic obszaru Pomnika Zagłady i jego strefy ochronnej, utworzenia parku kulturowego,</w:t>
      </w:r>
    </w:p>
    <w:p>
      <w:pPr>
        <w:pStyle w:val="ListParagraph"/>
        <w:widowControl w:val="false"/>
        <w:numPr>
          <w:ilvl w:val="0"/>
          <w:numId w:val="5"/>
        </w:numPr>
        <w:spacing w:lineRule="auto" w:line="240"/>
        <w:ind w:left="567" w:hanging="283"/>
        <w:jc w:val="both"/>
        <w:rPr>
          <w:rFonts w:cs="Times New Roman"/>
          <w:sz w:val="18"/>
          <w:szCs w:val="18"/>
        </w:rPr>
      </w:pPr>
      <w:r>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6">
    <w:p>
      <w:pPr>
        <w:pStyle w:val="Przypisdolny"/>
        <w:widowControl w:val="false"/>
        <w:rPr>
          <w:rFonts w:ascii="Times New Roman" w:hAnsi="Times New Roman"/>
          <w:sz w:val="18"/>
          <w:szCs w:val="18"/>
        </w:rPr>
      </w:pPr>
      <w:r>
        <w:rPr>
          <w:rStyle w:val="Znakiprzypiswdolnych"/>
        </w:rPr>
        <w:t>*</w:t>
      </w:r>
      <w:r>
        <w:rPr>
          <w:rStyle w:val="Znakiprzypiswdolnych"/>
        </w:rPr>
        <w:t>*****</w:t>
      </w:r>
      <w:r>
        <w:rPr/>
        <w:t xml:space="preserve"> </w:t>
      </w:r>
      <w:r>
        <w:rPr>
          <w:rFonts w:ascii="Times New Roman" w:hAnsi="Times New Roman"/>
          <w:sz w:val="18"/>
          <w:szCs w:val="18"/>
        </w:rPr>
        <w:t xml:space="preserve">W przypadku braku miejscowego planu zagospodarowania przestrzennego umieszcza się informację „Brak planu”. </w:t>
      </w:r>
    </w:p>
  </w:footnote>
  <w:footnote w:id="7">
    <w:p>
      <w:pPr>
        <w:pStyle w:val="Przypisdolny"/>
        <w:widowControl w:val="false"/>
        <w:ind w:left="284" w:hanging="284"/>
        <w:jc w:val="both"/>
        <w:rPr>
          <w:rFonts w:ascii="Times New Roman" w:hAnsi="Times New Roman"/>
          <w:sz w:val="18"/>
          <w:szCs w:val="18"/>
        </w:rPr>
      </w:pPr>
      <w:r>
        <w:rPr>
          <w:rStyle w:val="Znakiprzypiswdolnych"/>
        </w:rPr>
        <w:t>5)</w:t>
      </w:r>
      <w:r>
        <w:rPr>
          <w:rStyle w:val="Znakiprzypiswdolnych"/>
        </w:rPr>
        <w:tab/>
        <w:t>5)5)5)5)</w:t>
      </w:r>
      <w:r>
        <w:rPr>
          <w:rStyle w:val="Znakiprzypiswdolnych"/>
          <w:rFonts w:ascii="Times New Roman" w:hAnsi="Times New Roman"/>
          <w:sz w:val="18"/>
          <w:szCs w:val="18"/>
        </w:rPr>
        <w:t>5)</w:t>
      </w:r>
      <w:r>
        <w:rPr>
          <w:rFonts w:ascii="Times New Roman" w:hAnsi="Times New Roman"/>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8">
    <w:p>
      <w:pPr>
        <w:pStyle w:val="Przypisdolny"/>
        <w:widowControl w:val="false"/>
        <w:ind w:left="284" w:hanging="284"/>
        <w:jc w:val="both"/>
        <w:rPr>
          <w:rFonts w:ascii="Times New Roman" w:hAnsi="Times New Roman"/>
          <w:sz w:val="18"/>
          <w:szCs w:val="18"/>
        </w:rPr>
      </w:pPr>
      <w:r>
        <w:rPr>
          <w:rStyle w:val="Znakiprzypiswdolnych"/>
        </w:rPr>
        <w:t>6)</w:t>
      </w:r>
      <w:r>
        <w:rPr>
          <w:rStyle w:val="Znakiprzypiswdolnych"/>
        </w:rPr>
        <w:tab/>
        <w:t>6)6)6)6)</w:t>
      </w:r>
      <w:r>
        <w:rPr>
          <w:rStyle w:val="Znakiprzypiswdolnych"/>
          <w:rFonts w:ascii="Times New Roman" w:hAnsi="Times New Roman"/>
          <w:sz w:val="18"/>
          <w:szCs w:val="18"/>
        </w:rPr>
        <w:t>6)</w:t>
      </w:r>
      <w:r>
        <w:rPr>
          <w:rFonts w:ascii="Times New Roman" w:hAnsi="Times New Roman"/>
          <w:sz w:val="18"/>
          <w:szCs w:val="18"/>
        </w:rPr>
        <w:t>Zgodnie z art. 48 ust. 6 ustawy z dnia … o ochronie praw nabywcy lokalu mieszkalnego lub domu jednorodzinnego oraz o Deweloperskim Funduszu Gwarancyjnym (Dz. U. ….)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 o ochronie praw nabywcy lokalu mieszkalnego lub domu jednorodzinnego oraz o Deweloperskim Funduszu Gwarancyjnym.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3"/>
      <w:numFmt w:val="upp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765" w:hanging="4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2"/>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ea1c22"/>
    <w:rPr/>
  </w:style>
  <w:style w:type="character" w:styleId="TekstprzypisudolnegoZnak" w:customStyle="1">
    <w:name w:val="Tekst przypisu dolnego Znak"/>
    <w:basedOn w:val="DefaultParagraphFont"/>
    <w:uiPriority w:val="99"/>
    <w:semiHidden/>
    <w:qFormat/>
    <w:rsid w:val="00ea1c22"/>
    <w:rPr>
      <w:sz w:val="20"/>
      <w:szCs w:val="20"/>
    </w:rPr>
  </w:style>
  <w:style w:type="character" w:styleId="Znakiprzypiswdolnych">
    <w:name w:val="Znaki przypisów dolnych"/>
    <w:uiPriority w:val="99"/>
    <w:semiHidden/>
    <w:qFormat/>
    <w:rsid w:val="00ea1c22"/>
    <w:rPr>
      <w:rFonts w:cs="Times New Roman"/>
      <w:vertAlign w:val="superscript"/>
    </w:rPr>
  </w:style>
  <w:style w:type="character" w:styleId="Zakotwiczenieprzypisudolnego">
    <w:name w:val="Footnote Reference"/>
    <w:rPr>
      <w:rFonts w:cs="Times New Roman"/>
      <w:vertAlign w:val="superscript"/>
    </w:rPr>
  </w:style>
  <w:style w:type="character" w:styleId="StopkaZnak" w:customStyle="1">
    <w:name w:val="Stopka Znak"/>
    <w:basedOn w:val="DefaultParagraphFont"/>
    <w:uiPriority w:val="99"/>
    <w:qFormat/>
    <w:rsid w:val="00ea1c22"/>
    <w:rPr/>
  </w:style>
  <w:style w:type="character" w:styleId="TekstdymkaZnak" w:customStyle="1">
    <w:name w:val="Tekst dymka Znak"/>
    <w:basedOn w:val="DefaultParagraphFont"/>
    <w:link w:val="BalloonText"/>
    <w:uiPriority w:val="99"/>
    <w:semiHidden/>
    <w:qFormat/>
    <w:rsid w:val="007e3e4d"/>
    <w:rPr>
      <w:rFonts w:ascii="Segoe UI" w:hAnsi="Segoe UI" w:cs="Segoe UI"/>
      <w:sz w:val="18"/>
      <w:szCs w:val="18"/>
    </w:rPr>
  </w:style>
  <w:style w:type="character" w:styleId="Znakiprzypiswkocowych">
    <w:name w:val="Znaki przypisów końcowych"/>
    <w:qFormat/>
    <w:rPr>
      <w:vertAlign w:val="superscript"/>
    </w:rPr>
  </w:style>
  <w:style w:type="character" w:styleId="Zakotwiczenieprzypisukocowego">
    <w:name w:val="Endnote Reference"/>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link w:val="NagwekZnak"/>
    <w:uiPriority w:val="99"/>
    <w:unhideWhenUsed/>
    <w:rsid w:val="00ea1c22"/>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ea1c22"/>
    <w:pPr>
      <w:spacing w:lineRule="auto" w:line="240" w:before="0" w:after="0"/>
    </w:pPr>
    <w:rPr>
      <w:sz w:val="20"/>
      <w:szCs w:val="20"/>
    </w:rPr>
  </w:style>
  <w:style w:type="paragraph" w:styleId="ListParagraph">
    <w:name w:val="List Paragraph"/>
    <w:basedOn w:val="Normal"/>
    <w:uiPriority w:val="34"/>
    <w:qFormat/>
    <w:rsid w:val="00ea1c22"/>
    <w:pPr>
      <w:widowControl w:val="false"/>
      <w:spacing w:lineRule="auto" w:line="360" w:before="0" w:after="0"/>
      <w:ind w:left="720" w:hanging="0"/>
      <w:contextualSpacing/>
    </w:pPr>
    <w:rPr>
      <w:rFonts w:ascii="Times New Roman" w:hAnsi="Times New Roman" w:eastAsia="Times New Roman" w:cs="Arial"/>
      <w:sz w:val="24"/>
      <w:szCs w:val="20"/>
      <w:lang w:eastAsia="pl-PL"/>
    </w:rPr>
  </w:style>
  <w:style w:type="paragraph" w:styleId="Stopka">
    <w:name w:val="Footer"/>
    <w:basedOn w:val="Normal"/>
    <w:link w:val="StopkaZnak"/>
    <w:uiPriority w:val="99"/>
    <w:unhideWhenUsed/>
    <w:rsid w:val="00ea1c22"/>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7e3e4d"/>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l-PL"/>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ela-Siatka111">
    <w:name w:val="Tabela - Siatka111"/>
    <w:basedOn w:val="Standardowy"/>
    <w:rsid w:val="00ea1c22"/>
    <w:pPr>
      <w:spacing w:after="0" w:line="240" w:lineRule="auto"/>
    </w:pPr>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
    <w:name w:val="Table Grid"/>
    <w:basedOn w:val="Standardowy"/>
    <w:uiPriority w:val="39"/>
    <w:rsid w:val="00ea1c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Application>LibreOffice/7.5.2.2$Windows_X86_64 LibreOffice_project/53bb9681a964705cf672590721dbc85eb4d0c3a2</Application>
  <AppVersion>15.0000</AppVersion>
  <Pages>17</Pages>
  <Words>4019</Words>
  <Characters>25572</Characters>
  <CharactersWithSpaces>29210</CharactersWithSpaces>
  <Paragraphs>447</Paragraphs>
  <Company>Kancelaria Prezesa Rady Ministrow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2021-02-19T15:25:00Z</dcterms:created>
  <dc:creator>Pietrzak Ewa</dc:creator>
  <dc:description/>
  <dc:language>pl-PL</dc:language>
  <cp:lastModifiedBy/>
  <dcterms:modified xsi:type="dcterms:W3CDTF">2025-09-15T16:00:44Z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